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供应商须知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一、供应商须提供证明材料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1、营业执照、基本开户证明（复印件加盖公章）；</w:t>
      </w:r>
    </w:p>
    <w:p>
      <w:pPr>
        <w:pStyle w:val="2"/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带电清洗服务企业资质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一级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  <w:lang w:eastAsia="zh-CN"/>
        </w:rPr>
        <w:t>法定代表人身份证明或</w:t>
      </w:r>
      <w:r>
        <w:rPr>
          <w:rFonts w:hint="eastAsia" w:ascii="宋体" w:hAnsi="宋体" w:eastAsia="宋体" w:cs="宋体"/>
          <w:sz w:val="24"/>
        </w:rPr>
        <w:t>法定代表人授权委托书及授权代表身份证复印件；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、报价表</w:t>
      </w:r>
    </w:p>
    <w:p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按以上要求提供证相关证件及资料各一份、不可缺项，按顺序装订。</w:t>
      </w:r>
    </w:p>
    <w:p>
      <w:pPr>
        <w:rPr>
          <w:sz w:val="24"/>
        </w:rPr>
      </w:pPr>
    </w:p>
    <w:p>
      <w:pPr>
        <w:rPr>
          <w:b/>
          <w:bCs/>
          <w:color w:val="auto"/>
          <w:sz w:val="24"/>
          <w:u w:val="none"/>
        </w:rPr>
      </w:pPr>
      <w:r>
        <w:rPr>
          <w:rFonts w:hint="eastAsia"/>
          <w:b/>
          <w:bCs/>
          <w:color w:val="auto"/>
          <w:sz w:val="24"/>
          <w:u w:val="none"/>
        </w:rPr>
        <w:t>二、供应商须满足以下要求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1、付款方式：验收合格后一次性付清全款。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2、报价为一次性报价，包括人工费、材料费及税费等所需的一切费用。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、工期要求：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天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4、服务内容：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高低压控制柜（10KV干式变压器2台、配电柜28台、控制柜2台）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（1）服务方需制定好详细的施工维护作业方案，并形成文档提交我方核查。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（2）服务方需自行做好相应的安全措施，保障作业过程中的人员安全以及本公司的供电安全，并形成纸质版的安全技术措施提交我方核查。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（3）服务方需自行提供带电清洗作业所需的所有工具及材料，所使用工具及材料需满足相应的行业标准。工具及材料应详细体现在施工维护作业方案当中，所有工具及材料提供有关证明文件。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（4）作业过程中，服务方应严格按照施工维护作业方案内容进行作业，并遵守好本公司调度、安全环境及有关方面的各项规定。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（5）清洗完成后，出具带电清洗服务验收报告两份（正本+副本）。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报价表</w:t>
      </w:r>
    </w:p>
    <w:tbl>
      <w:tblPr>
        <w:tblStyle w:val="6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091"/>
        <w:gridCol w:w="4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供电设施带电清洗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高低压控制柜：10KV干式变压器2台、配电柜28台、控制柜2台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总报价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line="400" w:lineRule="exact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_Style 1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571</Words>
  <Characters>579</Characters>
  <Lines>6</Lines>
  <Paragraphs>1</Paragraphs>
  <TotalTime>0</TotalTime>
  <ScaleCrop>false</ScaleCrop>
  <LinksUpToDate>false</LinksUpToDate>
  <CharactersWithSpaces>588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2022-10-29T11:25:00Z</dcterms:created>
  <dc:creator>Administrator</dc:creator>
  <cp:lastModifiedBy>iPhone</cp:lastModifiedBy>
  <cp:lastPrinted>2023-06-10T11:10:09Z</cp:lastPrinted>
  <dcterms:modified xsi:type="dcterms:W3CDTF">2023-06-10T12:04:01Z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2052-11.37.8</vt:lpwstr>
  </property>
  <property fmtid="{D5CDD505-2E9C-101B-9397-08002B2CF9AE}" pid="3" name="ICV">
    <vt:lpwstr>C6A3C9ED78204A59BBB48990E203FDCC</vt:lpwstr>
  </property>
</Properties>
</file>