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numPr>
          <w:ilvl w:val="0"/>
          <w:numId w:val="0"/>
        </w:numPr>
        <w:rPr>
          <w:rFonts w:hint="eastAsia"/>
          <w:b/>
          <w:bCs/>
          <w:sz w:val="24"/>
          <w:szCs w:val="24"/>
          <w:lang w:val="en-US" w:eastAsia="zh-CN"/>
        </w:rPr>
      </w:pPr>
      <w:r>
        <w:rPr>
          <w:rFonts w:hint="eastAsia"/>
          <w:b/>
          <w:bCs/>
          <w:sz w:val="24"/>
          <w:szCs w:val="24"/>
          <w:lang w:val="en-US" w:eastAsia="zh-CN"/>
        </w:rPr>
        <w:t>一、供应商须提供证明材料</w:t>
      </w:r>
    </w:p>
    <w:p>
      <w:pPr>
        <w:numPr>
          <w:ilvl w:val="0"/>
          <w:numId w:val="0"/>
        </w:numPr>
        <w:rPr>
          <w:rFonts w:hint="eastAsia"/>
          <w:sz w:val="24"/>
          <w:szCs w:val="24"/>
          <w:lang w:val="en-US" w:eastAsia="zh-CN"/>
        </w:rPr>
      </w:pPr>
      <w:r>
        <w:rPr>
          <w:rFonts w:hint="eastAsia"/>
          <w:sz w:val="24"/>
          <w:szCs w:val="24"/>
          <w:lang w:val="en-US" w:eastAsia="zh-CN"/>
        </w:rPr>
        <w:t>1、营业执照、基本开户证明、</w:t>
      </w:r>
      <w:r>
        <w:rPr>
          <w:rFonts w:hint="eastAsia" w:ascii="宋体" w:hAnsi="宋体" w:eastAsia="宋体" w:cs="宋体"/>
          <w:sz w:val="24"/>
          <w:lang w:val="en-US" w:eastAsia="zh-CN"/>
        </w:rPr>
        <w:t>等级测评证书</w:t>
      </w:r>
      <w:r>
        <w:rPr>
          <w:rFonts w:hint="eastAsia"/>
          <w:sz w:val="24"/>
          <w:szCs w:val="24"/>
          <w:lang w:val="en-US" w:eastAsia="zh-CN"/>
        </w:rPr>
        <w:t>（复印件加盖公章）；</w:t>
      </w:r>
    </w:p>
    <w:p>
      <w:pPr>
        <w:numPr>
          <w:ilvl w:val="0"/>
          <w:numId w:val="0"/>
        </w:numPr>
        <w:rPr>
          <w:rFonts w:hint="eastAsia"/>
          <w:sz w:val="24"/>
          <w:szCs w:val="24"/>
          <w:lang w:val="en-US" w:eastAsia="zh-CN"/>
        </w:rPr>
      </w:pPr>
      <w:r>
        <w:rPr>
          <w:rFonts w:hint="eastAsia"/>
          <w:sz w:val="24"/>
          <w:szCs w:val="24"/>
          <w:lang w:val="en-US" w:eastAsia="zh-CN"/>
        </w:rPr>
        <w:t>2、法定代表人授权委托书及授权代表身份证复印件；</w:t>
      </w:r>
    </w:p>
    <w:p>
      <w:pPr>
        <w:numPr>
          <w:ilvl w:val="0"/>
          <w:numId w:val="0"/>
        </w:numPr>
        <w:rPr>
          <w:rFonts w:hint="eastAsia" w:eastAsiaTheme="minorEastAsia"/>
          <w:sz w:val="24"/>
          <w:szCs w:val="24"/>
          <w:lang w:val="en-US" w:eastAsia="zh-CN"/>
        </w:rPr>
      </w:pPr>
      <w:r>
        <w:rPr>
          <w:rFonts w:hint="eastAsia"/>
          <w:sz w:val="24"/>
          <w:szCs w:val="24"/>
          <w:highlight w:val="none"/>
          <w:vertAlign w:val="baseline"/>
          <w:lang w:val="en-US" w:eastAsia="zh-CN"/>
        </w:rPr>
        <w:t>3、报价表</w:t>
      </w:r>
    </w:p>
    <w:p>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numPr>
          <w:ilvl w:val="0"/>
          <w:numId w:val="0"/>
        </w:numPr>
        <w:rPr>
          <w:rFonts w:hint="eastAsia"/>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二、供应商须满足以下要求</w:t>
      </w:r>
    </w:p>
    <w:p>
      <w:pPr>
        <w:keepNext w:val="0"/>
        <w:keepLines w:val="0"/>
        <w:widowControl/>
        <w:suppressLineNumbers w:val="0"/>
        <w:jc w:val="left"/>
      </w:pPr>
      <w:r>
        <w:rPr>
          <w:rFonts w:hint="eastAsia"/>
          <w:sz w:val="24"/>
          <w:szCs w:val="24"/>
          <w:lang w:val="en-US" w:eastAsia="zh-CN"/>
        </w:rPr>
        <w:t>1、付款方式：</w:t>
      </w:r>
      <w:r>
        <w:rPr>
          <w:rFonts w:hint="eastAsia" w:ascii="宋体" w:hAnsi="宋体" w:eastAsia="宋体" w:cs="宋体"/>
          <w:color w:val="000000"/>
          <w:kern w:val="0"/>
          <w:sz w:val="24"/>
          <w:szCs w:val="24"/>
          <w:lang w:val="en-US" w:eastAsia="zh-CN" w:bidi="ar"/>
        </w:rPr>
        <w:t xml:space="preserve">验收合格后支付合同金额的95%，剩余5%在服务期结束后一次性无息支付。 </w:t>
      </w:r>
    </w:p>
    <w:p>
      <w:pPr>
        <w:rPr>
          <w:rFonts w:hint="eastAsia"/>
          <w:sz w:val="24"/>
          <w:szCs w:val="24"/>
          <w:lang w:val="en-US" w:eastAsia="zh-CN"/>
        </w:rPr>
      </w:pPr>
      <w:r>
        <w:rPr>
          <w:rFonts w:hint="eastAsia"/>
          <w:sz w:val="24"/>
          <w:szCs w:val="24"/>
          <w:lang w:val="en-US" w:eastAsia="zh-CN"/>
        </w:rPr>
        <w:t>2、报价包括：检测费、报告编写费、专家评审费等所有费用。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sz w:val="24"/>
          <w:szCs w:val="24"/>
          <w:lang w:val="en-US" w:eastAsia="zh-CN"/>
        </w:rPr>
        <w:t>3</w:t>
      </w:r>
      <w:r>
        <w:rPr>
          <w:rFonts w:hint="eastAsia" w:ascii="宋体" w:hAnsi="宋体" w:eastAsia="宋体" w:cs="宋体"/>
          <w:b w:val="0"/>
          <w:bCs w:val="0"/>
          <w:color w:val="000000"/>
          <w:kern w:val="0"/>
          <w:sz w:val="24"/>
          <w:szCs w:val="24"/>
          <w:lang w:val="en-US" w:eastAsia="zh-CN" w:bidi="ar"/>
        </w:rPr>
        <w:t>、工期：合同签订</w:t>
      </w:r>
      <w:r>
        <w:rPr>
          <w:rFonts w:hint="eastAsia" w:ascii="宋体" w:hAnsi="宋体" w:eastAsia="宋体" w:cs="宋体"/>
          <w:b w:val="0"/>
          <w:bCs w:val="0"/>
          <w:color w:val="000000"/>
          <w:kern w:val="0"/>
          <w:sz w:val="24"/>
          <w:szCs w:val="24"/>
          <w:u w:val="none"/>
          <w:lang w:val="en-US" w:eastAsia="zh-CN" w:bidi="ar"/>
        </w:rPr>
        <w:t>后</w:t>
      </w:r>
      <w:r>
        <w:rPr>
          <w:rFonts w:hint="eastAsia" w:ascii="宋体" w:hAnsi="宋体" w:eastAsia="宋体" w:cs="宋体"/>
          <w:b/>
          <w:bCs/>
          <w:color w:val="000000"/>
          <w:kern w:val="0"/>
          <w:sz w:val="24"/>
          <w:szCs w:val="24"/>
          <w:u w:val="single"/>
          <w:lang w:val="en-US" w:eastAsia="zh-CN" w:bidi="ar"/>
        </w:rPr>
        <w:t>1个月内</w:t>
      </w:r>
      <w:r>
        <w:rPr>
          <w:rFonts w:hint="eastAsia" w:ascii="宋体" w:hAnsi="宋体" w:eastAsia="宋体" w:cs="宋体"/>
          <w:b w:val="0"/>
          <w:bCs w:val="0"/>
          <w:color w:val="000000"/>
          <w:kern w:val="0"/>
          <w:sz w:val="24"/>
          <w:szCs w:val="24"/>
          <w:lang w:val="en-US" w:eastAsia="zh-CN" w:bidi="ar"/>
        </w:rPr>
        <w:t>完成测评工作，并出具网安部门认可的测评报告。　</w:t>
      </w:r>
    </w:p>
    <w:p>
      <w:pPr>
        <w:keepNext w:val="0"/>
        <w:keepLines w:val="0"/>
        <w:widowControl/>
        <w:suppressLineNumbers w:val="0"/>
        <w:jc w:val="left"/>
        <w:rPr>
          <w:rFonts w:hint="default" w:ascii="宋体" w:hAnsi="宋体" w:eastAsia="宋体" w:cs="宋体"/>
          <w:b w:val="0"/>
          <w:bCs w:val="0"/>
          <w:color w:val="000000"/>
          <w:kern w:val="0"/>
          <w:sz w:val="24"/>
          <w:szCs w:val="24"/>
          <w:lang w:val="en-US" w:eastAsia="zh-CN" w:bidi="ar"/>
        </w:rPr>
      </w:pPr>
      <w:r>
        <w:rPr>
          <w:rFonts w:hint="eastAsia"/>
          <w:sz w:val="24"/>
          <w:szCs w:val="24"/>
          <w:lang w:val="en-US" w:eastAsia="zh-CN"/>
        </w:rPr>
        <w:t>4</w:t>
      </w:r>
      <w:r>
        <w:rPr>
          <w:rFonts w:hint="eastAsia" w:ascii="宋体" w:hAnsi="宋体" w:eastAsia="宋体" w:cs="宋体"/>
          <w:b w:val="0"/>
          <w:bCs w:val="0"/>
          <w:color w:val="000000"/>
          <w:kern w:val="0"/>
          <w:sz w:val="24"/>
          <w:szCs w:val="24"/>
          <w:lang w:val="en-US" w:eastAsia="zh-CN" w:bidi="ar"/>
        </w:rPr>
        <w:t>、服务期：一年</w:t>
      </w:r>
    </w:p>
    <w:p>
      <w:pPr>
        <w:keepNext w:val="0"/>
        <w:keepLines w:val="0"/>
        <w:widowControl/>
        <w:suppressLineNumbers w:val="0"/>
        <w:jc w:val="left"/>
        <w:rPr>
          <w:rFonts w:hint="default" w:ascii="宋体" w:hAnsi="宋体" w:eastAsia="宋体" w:cs="宋体"/>
          <w:b w:val="0"/>
          <w:bCs w:val="0"/>
          <w:color w:val="000000"/>
          <w:kern w:val="0"/>
          <w:sz w:val="24"/>
          <w:szCs w:val="24"/>
          <w:lang w:val="en-US" w:eastAsia="zh-CN" w:bidi="ar"/>
        </w:rPr>
      </w:pPr>
      <w:r>
        <w:rPr>
          <w:rFonts w:hint="eastAsia"/>
          <w:sz w:val="24"/>
          <w:szCs w:val="24"/>
          <w:lang w:val="en-US" w:eastAsia="zh-CN"/>
        </w:rPr>
        <w:t>5</w:t>
      </w:r>
      <w:r>
        <w:rPr>
          <w:rFonts w:hint="eastAsia" w:ascii="宋体" w:hAnsi="宋体" w:eastAsia="宋体" w:cs="宋体"/>
          <w:b w:val="0"/>
          <w:bCs w:val="0"/>
          <w:color w:val="000000"/>
          <w:kern w:val="0"/>
          <w:sz w:val="24"/>
          <w:szCs w:val="24"/>
          <w:lang w:val="en-US" w:eastAsia="zh-CN" w:bidi="ar"/>
        </w:rPr>
        <w:t>、评分细则（10分）</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针对本次互联网医院平台系统等保测评项目的整体工作情况、安全管理方法及突发事件应急措施等相关工作方案进行打分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根据供应商针对本次等保测评项目投入的人、财、物情况进行打分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针对本项目，根据供应商合理化建议及优惠承诺进行评分</w:t>
            </w:r>
            <w:bookmarkStart w:id="0" w:name="_GoBack"/>
            <w:bookmarkEnd w:id="0"/>
          </w:p>
        </w:tc>
      </w:tr>
    </w:tbl>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rPr>
          <w:rFonts w:hint="eastAsia"/>
          <w:sz w:val="24"/>
          <w:szCs w:val="24"/>
          <w:lang w:val="en-US" w:eastAsia="zh-CN"/>
        </w:rPr>
      </w:pPr>
      <w:r>
        <w:rPr>
          <w:rFonts w:hint="eastAsia"/>
          <w:sz w:val="24"/>
          <w:szCs w:val="24"/>
          <w:lang w:val="en-US" w:eastAsia="zh-CN"/>
        </w:rPr>
        <w:t>6、、项目说明</w:t>
      </w:r>
    </w:p>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为落实信息系统安全等级保护要求，进一步增强信息系统安全防护能力，确保信息系统安全稳定运行，依据《</w:t>
      </w:r>
      <w:r>
        <w:rPr>
          <w:rFonts w:hint="eastAsia" w:ascii="宋体" w:hAnsi="宋体" w:cs="宋体"/>
          <w:color w:val="000000"/>
          <w:kern w:val="0"/>
          <w:sz w:val="24"/>
          <w:szCs w:val="24"/>
          <w:lang w:val="en-US" w:eastAsia="zh-CN" w:bidi="ar"/>
        </w:rPr>
        <w:t>互联网诊疗管理办法</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试行）第三章第十三条规定“医疗机构开展互联网诊疗活动，应当具备满足互联网技术要求的设备设施、信息系统、技术人员以及信息安全系统，并实施第三级信息安全等级保护。”按照《医疗卫生机构网络安全管理办法》要求</w:t>
      </w:r>
      <w:r>
        <w:rPr>
          <w:rFonts w:hint="eastAsia" w:ascii="宋体" w:hAnsi="宋体" w:eastAsia="宋体" w:cs="宋体"/>
          <w:color w:val="000000"/>
          <w:kern w:val="0"/>
          <w:sz w:val="24"/>
          <w:szCs w:val="24"/>
          <w:lang w:val="en-US" w:eastAsia="zh-CN" w:bidi="ar"/>
        </w:rPr>
        <w:t>开展此次</w:t>
      </w:r>
      <w:r>
        <w:rPr>
          <w:rFonts w:hint="eastAsia" w:ascii="宋体" w:hAnsi="宋体" w:cs="宋体"/>
          <w:color w:val="000000"/>
          <w:kern w:val="0"/>
          <w:sz w:val="24"/>
          <w:szCs w:val="24"/>
          <w:lang w:val="en-US" w:eastAsia="zh-CN" w:bidi="ar"/>
        </w:rPr>
        <w:t>网络</w:t>
      </w:r>
      <w:r>
        <w:rPr>
          <w:rFonts w:hint="eastAsia" w:ascii="宋体" w:hAnsi="宋体" w:eastAsia="宋体" w:cs="宋体"/>
          <w:color w:val="000000"/>
          <w:kern w:val="0"/>
          <w:sz w:val="24"/>
          <w:szCs w:val="24"/>
          <w:lang w:val="en-US" w:eastAsia="zh-CN" w:bidi="ar"/>
        </w:rPr>
        <w:t>安全等级保护测评工作。</w:t>
      </w:r>
    </w:p>
    <w:p>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一、基本要求</w:t>
      </w:r>
    </w:p>
    <w:p>
      <w:pPr>
        <w:ind w:firstLine="480" w:firstLineChars="200"/>
      </w:pPr>
      <w:r>
        <w:rPr>
          <w:rFonts w:hint="eastAsia" w:ascii="宋体" w:hAnsi="宋体" w:eastAsia="宋体" w:cs="宋体"/>
          <w:color w:val="000000"/>
          <w:kern w:val="0"/>
          <w:sz w:val="24"/>
          <w:szCs w:val="24"/>
          <w:lang w:val="en-US" w:eastAsia="zh-CN" w:bidi="ar"/>
        </w:rPr>
        <w:t>1、保密要求。★项目实施过程中所收集、产生的所有与本项目相关文档、资料，包括文字、图片、表格、数字等各种形式所属权均归属采购人，成交供应商有义务对所涉及到的内容保密，并在签定合同时签署保密协议。</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项目团队要求。项目团队人员不少于3人，项目经理为等级保护高级测评师。团队成员具有安全管控审计的能力，具有安全、网络、主机等专业方向上的能力；所有成员必须全程全职参与本次项目。项目成员不得随意变动，确需变动必须提前征得采购人同意。</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3、完成采购人的</w:t>
      </w:r>
      <w:r>
        <w:rPr>
          <w:rFonts w:hint="eastAsia" w:ascii="宋体" w:hAnsi="宋体" w:cs="宋体"/>
          <w:color w:val="000000"/>
          <w:kern w:val="0"/>
          <w:sz w:val="24"/>
          <w:szCs w:val="24"/>
          <w:lang w:val="en-US" w:eastAsia="zh-CN" w:bidi="ar"/>
        </w:rPr>
        <w:t>互联网医院平台系统</w:t>
      </w:r>
      <w:r>
        <w:rPr>
          <w:rFonts w:hint="eastAsia" w:ascii="宋体" w:hAnsi="宋体" w:eastAsia="宋体" w:cs="宋体"/>
          <w:color w:val="000000"/>
          <w:kern w:val="0"/>
          <w:sz w:val="24"/>
          <w:szCs w:val="24"/>
          <w:lang w:val="en-US" w:eastAsia="zh-CN" w:bidi="ar"/>
        </w:rPr>
        <w:t xml:space="preserve">等保三级测评。 </w:t>
      </w:r>
    </w:p>
    <w:p>
      <w:pPr>
        <w:keepNext w:val="0"/>
        <w:keepLines w:val="0"/>
        <w:widowControl/>
        <w:suppressLineNumbers w:val="0"/>
        <w:ind w:firstLine="480"/>
        <w:jc w:val="left"/>
        <w:rPr>
          <w:rFonts w:hint="eastAsia" w:ascii="宋体" w:hAnsi="宋体" w:eastAsia="宋体" w:cs="宋体"/>
          <w:b w:val="0"/>
          <w:bCs w:val="0"/>
          <w:sz w:val="24"/>
          <w:szCs w:val="24"/>
        </w:rPr>
      </w:pPr>
      <w:r>
        <w:rPr>
          <w:rFonts w:hint="eastAsia" w:ascii="宋体" w:hAnsi="宋体" w:eastAsia="宋体" w:cs="宋体"/>
          <w:b/>
          <w:bCs/>
          <w:color w:val="000000"/>
          <w:kern w:val="0"/>
          <w:sz w:val="24"/>
          <w:szCs w:val="24"/>
          <w:lang w:val="en-US" w:eastAsia="zh-CN" w:bidi="ar"/>
        </w:rPr>
        <w:t>二、项目需求和技术方案要求</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1、总体要求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 </w:t>
      </w:r>
      <w:r>
        <w:rPr>
          <w:rFonts w:hint="eastAsia" w:ascii="宋体" w:hAnsi="宋体" w:cs="宋体"/>
          <w:color w:val="000000"/>
          <w:kern w:val="0"/>
          <w:sz w:val="24"/>
          <w:szCs w:val="24"/>
          <w:lang w:val="en-US" w:eastAsia="zh-CN" w:bidi="ar"/>
        </w:rPr>
        <w:t>负责</w:t>
      </w:r>
      <w:r>
        <w:rPr>
          <w:rFonts w:hint="eastAsia" w:ascii="宋体" w:hAnsi="宋体" w:eastAsia="宋体" w:cs="宋体"/>
          <w:color w:val="000000"/>
          <w:kern w:val="0"/>
          <w:sz w:val="24"/>
          <w:szCs w:val="24"/>
          <w:lang w:val="en-US" w:eastAsia="zh-CN" w:bidi="ar"/>
        </w:rPr>
        <w:t>按照网络安全等级保护定级标准和工作要求，开展</w:t>
      </w:r>
      <w:r>
        <w:rPr>
          <w:rFonts w:hint="eastAsia" w:ascii="宋体" w:hAnsi="宋体" w:cs="宋体"/>
          <w:color w:val="000000"/>
          <w:kern w:val="0"/>
          <w:sz w:val="24"/>
          <w:szCs w:val="24"/>
          <w:lang w:val="en-US" w:eastAsia="zh-CN" w:bidi="ar"/>
        </w:rPr>
        <w:t>互联网医院</w:t>
      </w:r>
      <w:r>
        <w:rPr>
          <w:rFonts w:hint="eastAsia" w:ascii="宋体" w:hAnsi="宋体" w:eastAsia="宋体" w:cs="宋体"/>
          <w:color w:val="000000"/>
          <w:kern w:val="0"/>
          <w:sz w:val="24"/>
          <w:szCs w:val="24"/>
          <w:lang w:val="en-US" w:eastAsia="zh-CN" w:bidi="ar"/>
        </w:rPr>
        <w:t>信息系统安全等级保护系统梳理和定级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 xml:space="preserve">工作，协助完成系统的定级报告，并完成备案工作。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按照国家等级保护2.0相关标准和要求，对上述系统按照对应级别标准开展信息系统安全等级保护测评工作，找出系统现状与相关标准要求之间的差距，遵循适度原则，提出切实可行的整改建议，最终完成等级保护测评报告。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(3)针对测评中发现的信息安全管理漏洞和薄弱环节，并深入分析下一步信息系统建设和管理的实际安全需求，协助开展相关的安全整改工作，确保重要信息系统的安全防护水平满足当前和未来建设发展的安全要求。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2、测评依据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(1)《信息安全技术-信息系统安全等级保护基本要求》（GB/T 22239-2019）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(2)《信息安全技术-网络安全等级保护定级指南》（GA/T 1389-2017）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(3)《信息安全技术-网络安全等级保护实施指南》（GB/T 25058-2019）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(4)《信息安全技术-网络安全等级保护测评要求》（GB/T 28448-2019）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(5)《信息安全技术-网络安全等级保护测评过程指南》（GB/T 28449-2018）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(6)《信息安全技术-办公信息系统安全管理要求》（GBT 37094-2018）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(7)《计算机信息系统安全保护等级划分准则》（GB 17859-1999）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(8)《信息安全技术-信息系统通用安全技术要求》（GB/T 20271-2006）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(9)《信息安全技术-网络基础安全技术要求》（GB/T 20270-2006）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(10)《信息安全技术-操作系统安全技术要求》（GB/T 20272-2006）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(11)《信息安全技术-数据库管理系统安全技术要求》（GB/T 20273-2006）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(12)《信息安全技术-服务器技术要求》（GB/T 21028-2007）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(13)《信息安全技术-终端计算机系统安全等级技术要求》（GA/T 671-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(14)《信息安全技术-信息系统安全管理要求》（GB/T20269-2006）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(15)《信息安全技术-信息系统安全工程管理要求》（GB/T 20282-2006）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(16)《信息技术 安全技术 信息技术 安全性评估准则》（GB/T 18336-2001）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(17) 项目涉及的其它相关国际、国内标准或规范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3、服务内容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按照公安部网络安全等级保护工作要求，对</w:t>
      </w:r>
      <w:r>
        <w:rPr>
          <w:rFonts w:hint="eastAsia" w:ascii="宋体" w:hAnsi="宋体" w:cs="宋体"/>
          <w:color w:val="000000"/>
          <w:kern w:val="0"/>
          <w:sz w:val="24"/>
          <w:szCs w:val="24"/>
          <w:lang w:val="en-US" w:eastAsia="zh-CN" w:bidi="ar"/>
        </w:rPr>
        <w:t>系统按照</w:t>
      </w:r>
      <w:r>
        <w:rPr>
          <w:rFonts w:hint="eastAsia" w:ascii="宋体" w:hAnsi="宋体" w:eastAsia="宋体" w:cs="宋体"/>
          <w:color w:val="000000"/>
          <w:kern w:val="0"/>
          <w:sz w:val="24"/>
          <w:szCs w:val="24"/>
          <w:lang w:val="en-US" w:eastAsia="zh-CN" w:bidi="ar"/>
        </w:rPr>
        <w:t>对应级别标准开展信息系统安全等级保护定级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完成系统的定级报告，并协助到公安机关完成备案</w:t>
      </w:r>
      <w:r>
        <w:rPr>
          <w:rFonts w:hint="eastAsia" w:ascii="宋体" w:hAnsi="宋体" w:cs="宋体"/>
          <w:color w:val="000000"/>
          <w:kern w:val="0"/>
          <w:sz w:val="24"/>
          <w:szCs w:val="24"/>
          <w:lang w:val="en-US" w:eastAsia="zh-CN" w:bidi="ar"/>
        </w:rPr>
        <w:t>，经过测评出具公安部门认可的测评报告</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115"/>
        <w:gridCol w:w="147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6"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4115"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系统名称</w:t>
            </w:r>
          </w:p>
        </w:tc>
        <w:tc>
          <w:tcPr>
            <w:tcW w:w="1472"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建议等级</w:t>
            </w:r>
          </w:p>
        </w:tc>
        <w:tc>
          <w:tcPr>
            <w:tcW w:w="2105"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6"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4115"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互联网医院平台系统</w:t>
            </w:r>
          </w:p>
        </w:tc>
        <w:tc>
          <w:tcPr>
            <w:tcW w:w="1472"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三级</w:t>
            </w:r>
          </w:p>
        </w:tc>
        <w:tc>
          <w:tcPr>
            <w:tcW w:w="2105" w:type="dxa"/>
            <w:noWrap w:val="0"/>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未备案</w:t>
            </w:r>
          </w:p>
        </w:tc>
      </w:tr>
    </w:tbl>
    <w:p>
      <w:pPr>
        <w:keepNext w:val="0"/>
        <w:keepLines w:val="0"/>
        <w:widowControl/>
        <w:suppressLineNumbers w:val="0"/>
        <w:ind w:firstLine="482" w:firstLineChars="200"/>
        <w:jc w:val="left"/>
        <w:rPr>
          <w:rFonts w:hint="eastAsia" w:ascii="宋体" w:hAnsi="宋体" w:eastAsia="宋体" w:cs="宋体"/>
          <w:b w:val="0"/>
          <w:bCs w:val="0"/>
          <w:sz w:val="24"/>
          <w:szCs w:val="24"/>
        </w:rPr>
      </w:pPr>
      <w:r>
        <w:rPr>
          <w:rFonts w:hint="eastAsia" w:ascii="宋体" w:hAnsi="宋体" w:eastAsia="宋体" w:cs="宋体"/>
          <w:b/>
          <w:bCs/>
          <w:color w:val="000000"/>
          <w:kern w:val="0"/>
          <w:sz w:val="24"/>
          <w:szCs w:val="24"/>
          <w:lang w:val="en-US" w:eastAsia="zh-CN" w:bidi="ar"/>
        </w:rPr>
        <w:t>三、网络安全等级保护测评</w:t>
      </w:r>
      <w:r>
        <w:rPr>
          <w:rFonts w:hint="eastAsia" w:ascii="宋体" w:hAnsi="宋体" w:eastAsia="宋体" w:cs="宋体"/>
          <w:b w:val="0"/>
          <w:bCs w:val="0"/>
          <w:color w:val="000000"/>
          <w:kern w:val="0"/>
          <w:sz w:val="24"/>
          <w:szCs w:val="24"/>
          <w:lang w:val="en-US" w:eastAsia="zh-CN" w:bidi="ar"/>
        </w:rPr>
        <w:t xml:space="preserve">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1、测评要求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按照网络安全等级保护2.0标准和相关要求，对上述系统按照对应级别标准开展网络安全等级保护测评工作，找出系统现状与国家相关标准要求之间的差距，进行逐项分析、整体分析，提交差距分析报告和整改建议方案，并协助整改。待整改完毕后，进行结果确认，最终出具网络安全等级保护测评报告，并将测评报告报当地公安机关备案。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2、测评内容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等级保护测评的内容包括但不限于以下内容，所有技术要求参照上述“测评依据”。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(1)安全技术测评：包括安全物理环境、安全通信网络、安全区域边界、安全计算环境、安全管理中心等五个方面的安全测评。 </w:t>
      </w:r>
    </w:p>
    <w:p>
      <w:pPr>
        <w:keepNext w:val="0"/>
        <w:keepLines w:val="0"/>
        <w:widowControl/>
        <w:suppressLineNumbers w:val="0"/>
        <w:ind w:firstLine="480" w:firstLineChars="20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(2)安全管理测评：安全管理制度、安全管理机构、安全管理人员、安全建设管理、安全运维管理等五个方面的安全测评。</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w:t>
      </w:r>
      <w:r>
        <w:rPr>
          <w:rFonts w:hint="eastAsia" w:ascii="宋体" w:hAnsi="宋体" w:eastAsia="宋体" w:cs="宋体"/>
          <w:b/>
          <w:bCs/>
          <w:color w:val="000000"/>
          <w:kern w:val="0"/>
          <w:sz w:val="24"/>
          <w:szCs w:val="24"/>
          <w:lang w:val="en-US" w:eastAsia="zh-CN" w:bidi="ar"/>
        </w:rPr>
        <w:t xml:space="preserve">四、信息系统安全风险评估 </w:t>
      </w:r>
    </w:p>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依据《信息安全技术 信息安全风险评估规范》等国家信息安全相关标准的技术要求，从风险管理角度，综合利用相关评估技术、评估方法、评估工具，分析与信息安全有关的资产，对资产进行识别，评价所面临的信息安全威胁、存在的薄弱点及其对信息安全的影响，确认已有的信息安全控制措施，判断安全事件发生的概率以及可能造成的损失，对物理环境安全、网络架构安全、主机设备安全、应用系统安全、数据安全、管理安全等多方面进行风险评估。根据分析结果提供有针对性的整改加固方案，并协助用户进行整改加固，将风险控制在可接受范围内，最终出具信息安全风险评估报告。</w:t>
      </w:r>
      <w:r>
        <w:rPr>
          <w:rFonts w:hint="eastAsia" w:ascii="宋体" w:hAnsi="宋体" w:eastAsia="宋体" w:cs="宋体"/>
          <w:b w:val="0"/>
          <w:bCs w:val="0"/>
          <w:color w:val="000000"/>
          <w:kern w:val="0"/>
          <w:sz w:val="24"/>
          <w:szCs w:val="24"/>
          <w:lang w:val="en-US" w:eastAsia="zh-CN" w:bidi="ar"/>
        </w:rPr>
        <w:t>　　</w:t>
      </w:r>
    </w:p>
    <w:p>
      <w:pPr>
        <w:keepNext w:val="0"/>
        <w:keepLines w:val="0"/>
        <w:widowControl/>
        <w:suppressLineNumbers w:val="0"/>
        <w:ind w:firstLine="482" w:firstLineChars="20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五、网络安全加固服务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针对本次等保测评的系统，根据网络安全等保测、风险评估及软件测试发现的问题进行重点加固，遵循适度安全原则，综合考量成本与效益因素，提出信息系统安全等级保护整改建议，形成加固列表。按照等级保护基本要求进行保护整改，出具具备可操作性的整改方案。根据测评报告、专项检查结果形成整改方案系统地进行安全整改，整改工作是对信息系统完善的过程，通过建立整改方案和有效的整改工作，使系统能够进一步完善，达到等级保护的要求。</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w:t>
      </w:r>
      <w:r>
        <w:rPr>
          <w:rFonts w:hint="eastAsia" w:ascii="宋体" w:hAnsi="宋体" w:eastAsia="宋体" w:cs="宋体"/>
          <w:b/>
          <w:bCs/>
          <w:color w:val="000000"/>
          <w:kern w:val="0"/>
          <w:sz w:val="24"/>
          <w:szCs w:val="24"/>
          <w:lang w:val="en-US" w:eastAsia="zh-CN" w:bidi="ar"/>
        </w:rPr>
        <w:t xml:space="preserve">六、其他服务要求 </w:t>
      </w:r>
    </w:p>
    <w:p>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1、新上线系统安全评估服务</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服务期内提供不低于2次系统安全评估服务，</w:t>
      </w:r>
      <w:r>
        <w:rPr>
          <w:rFonts w:hint="eastAsia" w:ascii="宋体" w:hAnsi="宋体" w:cs="宋体"/>
          <w:color w:val="000000"/>
          <w:kern w:val="0"/>
          <w:sz w:val="24"/>
          <w:szCs w:val="24"/>
          <w:lang w:val="en-US" w:eastAsia="zh-CN" w:bidi="ar"/>
        </w:rPr>
        <w:t>例如</w:t>
      </w:r>
      <w:r>
        <w:rPr>
          <w:rFonts w:hint="eastAsia" w:ascii="宋体" w:hAnsi="宋体" w:eastAsia="宋体" w:cs="宋体"/>
          <w:color w:val="000000"/>
          <w:kern w:val="0"/>
          <w:sz w:val="24"/>
          <w:szCs w:val="24"/>
          <w:lang w:val="en-US" w:eastAsia="zh-CN" w:bidi="ar"/>
        </w:rPr>
        <w:t>：漏洞扫描、渗透测试、基线核查、风险评估、移动 APP 安全审核、性能压力测试</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评测报告（加盖成交人评测机构公章）。 </w:t>
      </w:r>
    </w:p>
    <w:p>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2、应急响应服务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服务期内指派一名安全事件应急服务人员参与我院应急响应，应急服务人员提供7*24 小时电话技术咨询，遇安全突发事件2小时内提供到场技术支持。 </w:t>
      </w:r>
    </w:p>
    <w:p>
      <w:pPr>
        <w:keepNext w:val="0"/>
        <w:keepLines w:val="0"/>
        <w:widowControl/>
        <w:numPr>
          <w:numId w:val="0"/>
        </w:numPr>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3、安全培训服务</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中标方应提供包含等保 2.0软件测试政策法规、信息安全政策法规、软件测试技术标准、信息安全技术标准、测试项目管理、性能测试技术、代码测试技术、商密测试技术在内的专业安全培训。提供1次网络安全意识或专题培训。</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w:t>
      </w:r>
      <w:r>
        <w:rPr>
          <w:rFonts w:hint="eastAsia" w:ascii="宋体" w:hAnsi="宋体" w:eastAsia="宋体" w:cs="宋体"/>
          <w:b/>
          <w:bCs/>
          <w:color w:val="000000"/>
          <w:kern w:val="0"/>
          <w:sz w:val="24"/>
          <w:szCs w:val="24"/>
          <w:lang w:val="en-US" w:eastAsia="zh-CN" w:bidi="ar"/>
        </w:rPr>
        <w:t xml:space="preserve">　七、成果交付 </w:t>
      </w:r>
    </w:p>
    <w:p>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1、测评系统提交的文档包括以下文件：</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(1)《XXX 系统网络安全等级保护备案证明》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(2)《XXX 系统网络安全等级保护测评方案》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(3)《XXX 系统网络安全等级保护差距分析报告》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(4)《XXX 系统网络安全等级保护整改建议方案》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(5)《XXX 系统网络安全等级保护测评报告》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(6)《XXX 系统信息安全整改加固方案》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XXX</w:t>
      </w:r>
      <w:r>
        <w:rPr>
          <w:rFonts w:hint="eastAsia" w:ascii="宋体" w:hAnsi="宋体" w:eastAsia="宋体" w:cs="宋体"/>
          <w:color w:val="000000"/>
          <w:kern w:val="0"/>
          <w:sz w:val="24"/>
          <w:szCs w:val="24"/>
          <w:lang w:val="en-US" w:eastAsia="zh-CN" w:bidi="ar"/>
        </w:rPr>
        <w:t xml:space="preserve">系统信息安全风险评估报告》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2、交付形式：电子版和纸介质形式，电子版形式的材料以常规软件可打开的格式提供，加盖测评机构公章的书面材料不少于2份，等级保护测评报告需加盖DJCP 等级测评章。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w:t>
      </w:r>
      <w:r>
        <w:rPr>
          <w:rFonts w:hint="eastAsia" w:ascii="宋体" w:hAnsi="宋体" w:eastAsia="宋体" w:cs="宋体"/>
          <w:b/>
          <w:bCs/>
          <w:color w:val="000000"/>
          <w:kern w:val="0"/>
          <w:sz w:val="24"/>
          <w:szCs w:val="24"/>
          <w:lang w:val="en-US" w:eastAsia="zh-CN" w:bidi="ar"/>
        </w:rPr>
        <w:t xml:space="preserve">　八、售后服务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1、成交人应为招标人提供及时、迅速、优质的服务； </w:t>
      </w:r>
    </w:p>
    <w:p>
      <w:pPr>
        <w:keepNext w:val="0"/>
        <w:keepLines w:val="0"/>
        <w:widowControl/>
        <w:suppressLineNumbers w:val="0"/>
        <w:ind w:firstLine="480" w:firstLineChars="200"/>
        <w:jc w:val="left"/>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w:t>
      </w:r>
      <w:r>
        <w:rPr>
          <w:rFonts w:hint="eastAsia" w:ascii="宋体" w:hAnsi="宋体" w:cs="宋体"/>
          <w:color w:val="000000"/>
          <w:kern w:val="0"/>
          <w:sz w:val="24"/>
          <w:szCs w:val="24"/>
          <w:lang w:val="en-US" w:eastAsia="zh-CN" w:bidi="ar"/>
        </w:rPr>
        <w:t>服务</w:t>
      </w:r>
      <w:r>
        <w:rPr>
          <w:rFonts w:hint="eastAsia" w:ascii="宋体" w:hAnsi="宋体" w:eastAsia="宋体" w:cs="宋体"/>
          <w:color w:val="000000"/>
          <w:kern w:val="0"/>
          <w:sz w:val="24"/>
          <w:szCs w:val="24"/>
          <w:lang w:val="en-US" w:eastAsia="zh-CN" w:bidi="ar"/>
        </w:rPr>
        <w:t>期内如出现问题时，成交人应迅速派技术人员及时解决</w:t>
      </w:r>
      <w:r>
        <w:rPr>
          <w:rFonts w:hint="eastAsia" w:ascii="宋体" w:hAnsi="宋体" w:cs="宋体"/>
          <w:color w:val="000000"/>
          <w:kern w:val="0"/>
          <w:sz w:val="24"/>
          <w:szCs w:val="24"/>
          <w:lang w:val="en-US" w:eastAsia="zh-CN" w:bidi="ar"/>
        </w:rPr>
        <w:t>；</w:t>
      </w:r>
    </w:p>
    <w:p>
      <w:pPr>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3、成交人若能提供其他更优质的服务，可在服务承诺中自行提供。该承诺将做为确定成交的参考依据</w:t>
      </w:r>
      <w:r>
        <w:rPr>
          <w:rFonts w:hint="eastAsia" w:ascii="宋体" w:hAnsi="宋体" w:cs="宋体"/>
          <w:color w:val="000000"/>
          <w:kern w:val="0"/>
          <w:sz w:val="24"/>
          <w:szCs w:val="24"/>
          <w:lang w:val="en-US" w:eastAsia="zh-CN" w:bidi="ar"/>
        </w:rPr>
        <w:t>。</w:t>
      </w:r>
    </w:p>
    <w:p>
      <w:pPr>
        <w:jc w:val="both"/>
        <w:rPr>
          <w:rFonts w:hint="eastAsia" w:ascii="宋体" w:hAnsi="宋体" w:eastAsia="宋体" w:cs="宋体"/>
          <w:b/>
          <w:bCs/>
          <w:sz w:val="24"/>
          <w:szCs w:val="24"/>
          <w:lang w:val="en-US" w:eastAsia="zh-CN"/>
        </w:rPr>
      </w:pPr>
    </w:p>
    <w:p>
      <w:pPr>
        <w:rPr>
          <w:rFonts w:hint="eastAsia"/>
          <w:b/>
          <w:bCs/>
          <w:sz w:val="32"/>
          <w:szCs w:val="32"/>
          <w:lang w:val="en-US" w:eastAsia="zh-CN"/>
        </w:rPr>
      </w:pPr>
      <w:r>
        <w:rPr>
          <w:rFonts w:hint="eastAsia"/>
          <w:b/>
          <w:bCs/>
          <w:sz w:val="32"/>
          <w:szCs w:val="32"/>
          <w:lang w:val="en-US" w:eastAsia="zh-CN"/>
        </w:rPr>
        <w:br w:type="page"/>
      </w:r>
    </w:p>
    <w:p>
      <w:pPr>
        <w:pStyle w:val="5"/>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sz w:val="24"/>
                <w:lang w:val="en-US" w:eastAsia="zh-CN"/>
              </w:rPr>
              <w:t>互联网医院平台系统等级保护测评服务采购项目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工期是否满足</w:t>
            </w:r>
          </w:p>
        </w:tc>
        <w:tc>
          <w:tcPr>
            <w:tcW w:w="4841" w:type="dxa"/>
            <w:vAlign w:val="center"/>
          </w:tcPr>
          <w:p>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eastAsiaTheme="minorEastAsia"/>
                <w:b/>
                <w:sz w:val="24"/>
                <w:lang w:val="en-US" w:eastAsia="zh-CN"/>
              </w:rPr>
            </w:pPr>
            <w:r>
              <w:rPr>
                <w:rFonts w:hint="eastAsia" w:ascii="宋体"/>
                <w:b/>
                <w:sz w:val="24"/>
                <w:lang w:val="en-US" w:eastAsia="zh-CN"/>
              </w:rPr>
              <w:t>4</w:t>
            </w:r>
          </w:p>
        </w:tc>
        <w:tc>
          <w:tcPr>
            <w:tcW w:w="3216"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其他优惠条件</w:t>
            </w:r>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Ansi="宋体" w:cs="宋体"/>
          <w:b/>
          <w:sz w:val="24"/>
        </w:rPr>
      </w:pPr>
      <w:r>
        <w:rPr>
          <w:rFonts w:hint="eastAsia" w:ascii="宋体" w:hAnsi="宋体" w:cs="宋体"/>
          <w:b/>
          <w:sz w:val="24"/>
        </w:rPr>
        <w:t>法定代表人或授权代表签字：</w:t>
      </w:r>
    </w:p>
    <w:p>
      <w:pPr>
        <w:rPr>
          <w:rFonts w:hint="default"/>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粗仿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TNjYmQ3M2IxZGYyZmFmOWFjMzgwYWRiMGZlM2UifQ=="/>
  </w:docVars>
  <w:rsids>
    <w:rsidRoot w:val="00000000"/>
    <w:rsid w:val="01F8223F"/>
    <w:rsid w:val="08787A18"/>
    <w:rsid w:val="0BF1156B"/>
    <w:rsid w:val="0CAF268A"/>
    <w:rsid w:val="11AC22E7"/>
    <w:rsid w:val="189F387B"/>
    <w:rsid w:val="19D66DF7"/>
    <w:rsid w:val="1E895187"/>
    <w:rsid w:val="29CF761E"/>
    <w:rsid w:val="30FF0C3A"/>
    <w:rsid w:val="384F1C6B"/>
    <w:rsid w:val="3FAE3EA9"/>
    <w:rsid w:val="412853E1"/>
    <w:rsid w:val="4BBC79FC"/>
    <w:rsid w:val="5161799F"/>
    <w:rsid w:val="533C03D8"/>
    <w:rsid w:val="55D134A0"/>
    <w:rsid w:val="602E2095"/>
    <w:rsid w:val="604C07D2"/>
    <w:rsid w:val="615B353F"/>
    <w:rsid w:val="6F461F6C"/>
    <w:rsid w:val="75C3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6">
    <w:name w:val="Body Text First Indent 2"/>
    <w:basedOn w:val="2"/>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4393</Words>
  <Characters>4798</Characters>
  <Lines>0</Lines>
  <Paragraphs>0</Paragraphs>
  <TotalTime>3</TotalTime>
  <ScaleCrop>false</ScaleCrop>
  <LinksUpToDate>false</LinksUpToDate>
  <CharactersWithSpaces>4945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2022-10-29T03:25:00Z</dcterms:created>
  <dc:creator>Administrator</dc:creator>
  <cp:lastModifiedBy>-24℃</cp:lastModifiedBy>
  <dcterms:modified xsi:type="dcterms:W3CDTF">2023-12-06T01:38:39Z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DE48BE6D8B514796A8F8A77E8B94DA7A</vt:lpwstr>
  </property>
</Properties>
</file>