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sz w:val="28"/>
          <w:szCs w:val="28"/>
          <w:lang w:val="en-US" w:eastAsia="zh-CN"/>
        </w:rPr>
      </w:pPr>
      <w:r>
        <w:rPr>
          <w:rFonts w:hint="eastAsia" w:ascii="方正小标宋简体" w:hAnsi="方正小标宋简体" w:eastAsia="方正小标宋简体" w:cs="方正小标宋简体"/>
          <w:b/>
          <w:bCs/>
          <w:sz w:val="28"/>
          <w:szCs w:val="28"/>
          <w:lang w:val="en-US" w:eastAsia="zh-CN"/>
        </w:rPr>
        <w:t>供应商须知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一、供应商须提供证明材料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1、营业执照、基本开户证明（复印件加盖公章）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2、相关消防评估资质证书（复印件加盖公章）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3、法定代表人身份证明或法定代表人授权委托书及授权代表身份证复印件；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4、报价表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u w:val="single"/>
          <w:lang w:val="en-US" w:eastAsia="zh-CN"/>
        </w:rPr>
      </w:pPr>
      <w:r>
        <w:rPr>
          <w:rFonts w:hint="eastAsia"/>
          <w:b/>
          <w:bCs/>
          <w:sz w:val="24"/>
          <w:szCs w:val="24"/>
          <w:u w:val="single"/>
          <w:lang w:val="en-US" w:eastAsia="zh-CN"/>
        </w:rPr>
        <w:t>按以上要求提供证相关证件及资料各一份、不可缺项，按顺序装订。</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二、供应商须满足以下要求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highlight w:val="none"/>
          <w:lang w:val="en-US" w:eastAsia="zh-CN"/>
        </w:rPr>
      </w:pPr>
      <w:r>
        <w:rPr>
          <w:rFonts w:hint="eastAsia"/>
          <w:sz w:val="24"/>
          <w:szCs w:val="24"/>
          <w:lang w:val="en-US" w:eastAsia="zh-CN"/>
        </w:rPr>
        <w:t>1、付款方式：</w:t>
      </w:r>
      <w:r>
        <w:rPr>
          <w:rFonts w:hint="eastAsia"/>
          <w:sz w:val="24"/>
          <w:szCs w:val="24"/>
          <w:highlight w:val="none"/>
          <w:lang w:val="en-US" w:eastAsia="zh-CN"/>
        </w:rPr>
        <w:t>签订合同、出具评估报告后，一次性付清全款。</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highlight w:val="none"/>
          <w:lang w:val="en-US" w:eastAsia="zh-CN"/>
        </w:rPr>
      </w:pPr>
      <w:r>
        <w:rPr>
          <w:rFonts w:hint="eastAsia" w:asciiTheme="minorAscii" w:hAnsiTheme="minorAscii"/>
          <w:sz w:val="24"/>
          <w:szCs w:val="24"/>
          <w:highlight w:val="none"/>
          <w:lang w:val="en-US" w:eastAsia="zh-CN"/>
        </w:rPr>
        <w:t>2</w:t>
      </w:r>
      <w:r>
        <w:rPr>
          <w:rFonts w:hint="default" w:asciiTheme="minorAscii" w:hAnsiTheme="minorAscii"/>
          <w:sz w:val="24"/>
          <w:szCs w:val="24"/>
          <w:highlight w:val="none"/>
          <w:lang w:val="en-US" w:eastAsia="zh-CN"/>
        </w:rPr>
        <w:t>、</w:t>
      </w:r>
      <w:r>
        <w:rPr>
          <w:rFonts w:hint="eastAsia"/>
          <w:sz w:val="24"/>
          <w:szCs w:val="24"/>
          <w:highlight w:val="none"/>
          <w:lang w:val="en-US" w:eastAsia="zh-CN"/>
        </w:rPr>
        <w:t>工期：10天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sz w:val="24"/>
          <w:szCs w:val="24"/>
          <w:lang w:val="en-US" w:eastAsia="zh-CN"/>
        </w:rPr>
        <w:t>3、报价为一次性报价，检测费、报告编写费、评估费等所有费用</w:t>
      </w:r>
      <w:r>
        <w:rPr>
          <w:rFonts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asciiTheme="minorHAnsi" w:hAnsiTheme="minorHAnsi" w:eastAsiaTheme="minorEastAsia" w:cstheme="minorBidi"/>
          <w:kern w:val="2"/>
          <w:sz w:val="24"/>
          <w:szCs w:val="24"/>
          <w:lang w:val="en-US" w:eastAsia="zh-CN" w:bidi="ar-SA"/>
        </w:rPr>
        <w:t>4</w:t>
      </w:r>
      <w:r>
        <w:rPr>
          <w:rFonts w:hint="eastAsia" w:hAnsi="宋体" w:cs="宋体"/>
          <w:sz w:val="24"/>
          <w:szCs w:val="24"/>
          <w:lang w:val="en-US" w:eastAsia="zh-CN"/>
        </w:rPr>
        <w:t>、评估范围：包括消防安全管理、建筑物、防火分隔、消防设施、灭火设施、电气设备等。</w:t>
      </w:r>
    </w:p>
    <w:p>
      <w:pPr>
        <w:pStyle w:val="2"/>
        <w:ind w:left="0" w:leftChars="0" w:firstLine="0" w:firstLineChars="0"/>
        <w:rPr>
          <w:rFonts w:hint="eastAsia"/>
          <w:sz w:val="24"/>
          <w:szCs w:val="24"/>
          <w:lang w:val="en-US" w:eastAsia="zh-CN"/>
        </w:rPr>
      </w:pPr>
    </w:p>
    <w:p>
      <w:pPr>
        <w:pStyle w:val="2"/>
        <w:rPr>
          <w:rFonts w:hint="eastAsia"/>
          <w:sz w:val="24"/>
          <w:szCs w:val="24"/>
          <w:lang w:val="en-US" w:eastAsia="zh-CN"/>
        </w:rPr>
      </w:pPr>
    </w:p>
    <w:p>
      <w:pPr>
        <w:pStyle w:val="6"/>
        <w:rPr>
          <w:rFonts w:hint="eastAsia"/>
          <w:sz w:val="24"/>
          <w:szCs w:val="24"/>
          <w:lang w:val="en-US" w:eastAsia="zh-CN"/>
        </w:rPr>
      </w:pPr>
      <w:r>
        <w:rPr>
          <w:rFonts w:hint="eastAsia" w:asciiTheme="minorHAnsi" w:hAnsiTheme="minorHAnsi" w:eastAsiaTheme="minorEastAsia" w:cstheme="minorBidi"/>
          <w:kern w:val="2"/>
          <w:sz w:val="24"/>
          <w:szCs w:val="24"/>
          <w:lang w:val="en-US" w:eastAsia="zh-CN" w:bidi="ar-SA"/>
        </w:rPr>
        <w:t>5</w:t>
      </w:r>
      <w:r>
        <w:rPr>
          <w:rFonts w:hint="eastAsia" w:hAnsi="宋体" w:cs="宋体"/>
          <w:sz w:val="24"/>
          <w:szCs w:val="24"/>
          <w:lang w:val="en-US" w:eastAsia="zh-CN"/>
        </w:rPr>
        <w:t>、评分细则（10分）</w:t>
      </w:r>
    </w:p>
    <w:tbl>
      <w:tblPr>
        <w:tblStyle w:val="7"/>
        <w:tblW w:w="84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1181"/>
        <w:gridCol w:w="1965"/>
        <w:gridCol w:w="4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w:t>
            </w:r>
          </w:p>
        </w:tc>
        <w:tc>
          <w:tcPr>
            <w:tcW w:w="3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主要内容及分值</w:t>
            </w:r>
          </w:p>
        </w:tc>
        <w:tc>
          <w:tcPr>
            <w:tcW w:w="4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2"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3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  3分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报价最低的供应商的价格为基准价，其价格分为满分。其他供应商的价格分统一按照下列公式计算: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报价得分=(基准价/最后报价)*30%*10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注:小数点后保留2位有效数字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工作计划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0-3分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针对本次消防安全评估项目的整体工作情况、安全管理方法及评估人员的情况进行打分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4"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人员、设备及其他物品投入情况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0-2分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根据供应商针对消防安全评估项目投入的人、财、物情况进行打分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其他优惠条件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0-2分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针对本次消防安全评估服务项目提供切实可行的其他优惠服务。</w:t>
            </w:r>
          </w:p>
        </w:tc>
      </w:tr>
    </w:tbl>
    <w:p>
      <w:pPr>
        <w:pStyle w:val="6"/>
        <w:rPr>
          <w:rFonts w:hint="eastAsia"/>
          <w:b/>
          <w:bCs/>
          <w:sz w:val="24"/>
          <w:szCs w:val="24"/>
          <w:lang w:val="en-US" w:eastAsia="zh-CN"/>
        </w:rPr>
      </w:pPr>
      <w:r>
        <w:rPr>
          <w:rFonts w:hint="eastAsia"/>
          <w:b/>
          <w:bCs/>
          <w:sz w:val="24"/>
          <w:szCs w:val="24"/>
          <w:lang w:val="en-US" w:eastAsia="zh-CN"/>
        </w:rPr>
        <w:t>备注：请按照相关评分细则提供相关内容。</w:t>
      </w:r>
    </w:p>
    <w:p>
      <w:pPr>
        <w:rPr>
          <w:rFonts w:hint="eastAsia"/>
          <w:sz w:val="32"/>
          <w:szCs w:val="32"/>
          <w:lang w:val="en-US" w:eastAsia="zh-CN"/>
        </w:rPr>
      </w:pPr>
      <w:r>
        <w:rPr>
          <w:rFonts w:hint="eastAsia"/>
          <w:sz w:val="32"/>
          <w:szCs w:val="32"/>
          <w:lang w:val="en-US" w:eastAsia="zh-CN"/>
        </w:rPr>
        <w:br w:type="page"/>
      </w:r>
    </w:p>
    <w:p>
      <w:pPr>
        <w:pStyle w:val="6"/>
        <w:jc w:val="center"/>
        <w:rPr>
          <w:rFonts w:hint="eastAsia" w:eastAsia="宋体"/>
          <w:sz w:val="32"/>
          <w:szCs w:val="32"/>
          <w:lang w:val="en-US" w:eastAsia="zh-CN"/>
        </w:rPr>
      </w:pPr>
      <w:r>
        <w:rPr>
          <w:rFonts w:hint="eastAsia"/>
          <w:sz w:val="32"/>
          <w:szCs w:val="32"/>
          <w:lang w:val="en-US" w:eastAsia="zh-CN"/>
        </w:rPr>
        <w:t>报价表</w:t>
      </w:r>
    </w:p>
    <w:tbl>
      <w:tblPr>
        <w:tblStyle w:val="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216"/>
        <w:gridCol w:w="4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782" w:type="dxa"/>
            <w:vAlign w:val="center"/>
          </w:tcPr>
          <w:p>
            <w:pPr>
              <w:spacing w:line="500" w:lineRule="exact"/>
              <w:jc w:val="center"/>
              <w:rPr>
                <w:rFonts w:ascii="宋体"/>
                <w:b/>
                <w:sz w:val="24"/>
              </w:rPr>
            </w:pPr>
            <w:r>
              <w:rPr>
                <w:rFonts w:hint="eastAsia" w:ascii="宋体" w:hAnsi="宋体"/>
                <w:b/>
                <w:sz w:val="24"/>
              </w:rPr>
              <w:t>序号</w:t>
            </w:r>
          </w:p>
        </w:tc>
        <w:tc>
          <w:tcPr>
            <w:tcW w:w="8057" w:type="dxa"/>
            <w:gridSpan w:val="2"/>
            <w:vAlign w:val="center"/>
          </w:tcPr>
          <w:p>
            <w:pPr>
              <w:spacing w:line="500" w:lineRule="exact"/>
              <w:jc w:val="center"/>
              <w:rPr>
                <w:rFonts w:ascii="宋体"/>
                <w:b/>
                <w:sz w:val="24"/>
              </w:rPr>
            </w:pPr>
            <w:r>
              <w:rPr>
                <w:rFonts w:hint="eastAsia" w:ascii="宋体" w:hAnsi="宋体"/>
                <w:b/>
                <w:sz w:val="24"/>
              </w:rPr>
              <w:t>报</w:t>
            </w:r>
            <w:r>
              <w:rPr>
                <w:rFonts w:ascii="宋体" w:hAnsi="宋体"/>
                <w:b/>
                <w:sz w:val="24"/>
              </w:rPr>
              <w:t xml:space="preserve"> </w:t>
            </w:r>
            <w:r>
              <w:rPr>
                <w:rFonts w:hint="eastAsia" w:ascii="宋体" w:hAnsi="宋体"/>
                <w:b/>
                <w:sz w:val="24"/>
              </w:rPr>
              <w:t>价</w:t>
            </w:r>
            <w:r>
              <w:rPr>
                <w:rFonts w:ascii="宋体" w:hAnsi="宋体"/>
                <w:b/>
                <w:sz w:val="24"/>
              </w:rPr>
              <w:t xml:space="preserve"> </w:t>
            </w:r>
            <w:r>
              <w:rPr>
                <w:rFonts w:hint="eastAsia" w:ascii="宋体" w:hAnsi="宋体"/>
                <w:b/>
                <w:sz w:val="24"/>
              </w:rPr>
              <w:t>项</w:t>
            </w:r>
            <w:r>
              <w:rPr>
                <w:rFonts w:ascii="宋体" w:hAnsi="宋体"/>
                <w:b/>
                <w:sz w:val="24"/>
              </w:rPr>
              <w:t xml:space="preserve"> </w:t>
            </w:r>
            <w:r>
              <w:rPr>
                <w:rFonts w:hint="eastAsia" w:ascii="宋体" w:hAnsi="宋体"/>
                <w:b/>
                <w:sz w:val="24"/>
              </w:rPr>
              <w:t>目</w:t>
            </w:r>
            <w:r>
              <w:rPr>
                <w:rFonts w:ascii="宋体" w:hAnsi="宋体"/>
                <w:b/>
                <w:sz w:val="24"/>
              </w:rPr>
              <w:t xml:space="preserve"> </w:t>
            </w:r>
            <w:r>
              <w:rPr>
                <w:rFonts w:hint="eastAsia" w:ascii="宋体" w:hAnsi="宋体"/>
                <w:b/>
                <w:sz w:val="24"/>
              </w:rPr>
              <w:t>明</w:t>
            </w:r>
            <w:r>
              <w:rPr>
                <w:rFonts w:ascii="宋体" w:hAnsi="宋体"/>
                <w:b/>
                <w:sz w:val="24"/>
              </w:rPr>
              <w:t xml:space="preserve"> </w:t>
            </w:r>
            <w:r>
              <w:rPr>
                <w:rFonts w:hint="eastAsia" w:ascii="宋体" w:hAnsi="宋体"/>
                <w:b/>
                <w:sz w:val="24"/>
              </w:rPr>
              <w:t>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782" w:type="dxa"/>
            <w:vMerge w:val="restart"/>
            <w:vAlign w:val="center"/>
          </w:tcPr>
          <w:p>
            <w:pPr>
              <w:spacing w:line="500" w:lineRule="exact"/>
              <w:jc w:val="center"/>
              <w:rPr>
                <w:rFonts w:ascii="宋体"/>
                <w:b/>
                <w:sz w:val="24"/>
              </w:rPr>
            </w:pPr>
            <w:r>
              <w:rPr>
                <w:rFonts w:hint="eastAsia" w:ascii="宋体"/>
                <w:b/>
                <w:sz w:val="24"/>
              </w:rPr>
              <w:t>1</w:t>
            </w:r>
          </w:p>
        </w:tc>
        <w:tc>
          <w:tcPr>
            <w:tcW w:w="3216" w:type="dxa"/>
            <w:vAlign w:val="center"/>
          </w:tcPr>
          <w:p>
            <w:pPr>
              <w:spacing w:line="500" w:lineRule="exact"/>
              <w:ind w:left="120" w:hanging="120" w:hangingChars="50"/>
              <w:jc w:val="center"/>
              <w:textAlignment w:val="baseline"/>
              <w:rPr>
                <w:rFonts w:ascii="宋体"/>
                <w:sz w:val="24"/>
              </w:rPr>
            </w:pPr>
            <w:r>
              <w:rPr>
                <w:rFonts w:hint="eastAsia" w:ascii="宋体"/>
                <w:sz w:val="24"/>
              </w:rPr>
              <w:t>内容</w:t>
            </w:r>
          </w:p>
        </w:tc>
        <w:tc>
          <w:tcPr>
            <w:tcW w:w="4841" w:type="dxa"/>
            <w:vAlign w:val="center"/>
          </w:tcPr>
          <w:p>
            <w:pPr>
              <w:spacing w:line="500" w:lineRule="exact"/>
              <w:jc w:val="center"/>
              <w:rPr>
                <w:rFonts w:hint="eastAsia" w:ascii="宋体" w:eastAsiaTheme="minorEastAsia"/>
                <w:sz w:val="24"/>
                <w:lang w:eastAsia="zh-CN"/>
              </w:rPr>
            </w:pPr>
            <w:r>
              <w:rPr>
                <w:rFonts w:hint="eastAsia" w:ascii="宋体"/>
                <w:sz w:val="24"/>
                <w:lang w:eastAsia="zh-CN"/>
              </w:rPr>
              <w:t>聊城市眼科医院消防安全评估服务采购项目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782" w:type="dxa"/>
            <w:vMerge w:val="continue"/>
            <w:vAlign w:val="center"/>
          </w:tcPr>
          <w:p>
            <w:pPr>
              <w:spacing w:line="500" w:lineRule="exact"/>
              <w:jc w:val="center"/>
              <w:rPr>
                <w:rFonts w:ascii="宋体"/>
                <w:b/>
                <w:sz w:val="24"/>
              </w:rPr>
            </w:pPr>
          </w:p>
        </w:tc>
        <w:tc>
          <w:tcPr>
            <w:tcW w:w="3216" w:type="dxa"/>
            <w:vAlign w:val="center"/>
          </w:tcPr>
          <w:p>
            <w:pPr>
              <w:spacing w:line="500" w:lineRule="exact"/>
              <w:ind w:left="120" w:hanging="120" w:hangingChars="50"/>
              <w:jc w:val="center"/>
              <w:textAlignment w:val="baseline"/>
              <w:rPr>
                <w:rFonts w:ascii="宋体"/>
                <w:sz w:val="24"/>
                <w:highlight w:val="none"/>
              </w:rPr>
            </w:pPr>
            <w:r>
              <w:rPr>
                <w:rFonts w:hint="eastAsia" w:ascii="宋体" w:hAnsi="宋体"/>
                <w:sz w:val="24"/>
                <w:highlight w:val="none"/>
              </w:rPr>
              <w:t>项目总报价</w:t>
            </w:r>
          </w:p>
        </w:tc>
        <w:tc>
          <w:tcPr>
            <w:tcW w:w="4841" w:type="dxa"/>
            <w:vAlign w:val="center"/>
          </w:tcPr>
          <w:p>
            <w:pPr>
              <w:spacing w:line="500" w:lineRule="exact"/>
              <w:rPr>
                <w:rFonts w:hint="default" w:ascii="宋体" w:eastAsiaTheme="minorEastAsia"/>
                <w:sz w:val="24"/>
                <w:highlight w:val="none"/>
                <w:u w:val="single"/>
                <w:lang w:val="en-US" w:eastAsia="zh-CN"/>
              </w:rPr>
            </w:pPr>
            <w:r>
              <w:rPr>
                <w:rFonts w:hint="eastAsia" w:ascii="宋体" w:hAnsi="宋体"/>
                <w:sz w:val="24"/>
                <w:highlight w:val="none"/>
              </w:rPr>
              <w:t>大写：</w:t>
            </w:r>
            <w:r>
              <w:rPr>
                <w:rFonts w:hint="eastAsia" w:ascii="宋体" w:hAnsi="宋体"/>
                <w:sz w:val="24"/>
                <w:highlight w:val="none"/>
                <w:u w:val="single"/>
                <w:lang w:val="en-US" w:eastAsia="zh-CN"/>
              </w:rPr>
              <w:t xml:space="preserve">              </w:t>
            </w:r>
          </w:p>
          <w:p>
            <w:pPr>
              <w:spacing w:line="500" w:lineRule="exact"/>
              <w:rPr>
                <w:rFonts w:hint="eastAsia" w:ascii="宋体" w:eastAsiaTheme="minorEastAsia"/>
                <w:sz w:val="24"/>
                <w:highlight w:val="none"/>
                <w:lang w:val="en-US" w:eastAsia="zh-CN"/>
              </w:rPr>
            </w:pPr>
            <w:r>
              <w:rPr>
                <w:rFonts w:hint="eastAsia" w:ascii="宋体" w:hAnsi="宋体"/>
                <w:sz w:val="24"/>
                <w:highlight w:val="none"/>
              </w:rPr>
              <w:t>小写：</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bookmarkStart w:id="0" w:name="_GoBack"/>
            <w:bookmarkEnd w:id="0"/>
            <w:r>
              <w:rPr>
                <w:rFonts w:hint="eastAsia" w:ascii="宋体" w:hAnsi="宋体"/>
                <w:sz w:val="24"/>
                <w:highlight w:val="none"/>
              </w:rPr>
              <w:t>元</w:t>
            </w:r>
            <w:r>
              <w:rPr>
                <w:rFonts w:hint="eastAsia" w:ascii="宋体" w:hAnsi="宋体"/>
                <w:sz w:val="24"/>
                <w:highlight w:val="none"/>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782" w:type="dxa"/>
            <w:vAlign w:val="center"/>
          </w:tcPr>
          <w:p>
            <w:pPr>
              <w:spacing w:line="500" w:lineRule="exact"/>
              <w:jc w:val="center"/>
              <w:rPr>
                <w:rFonts w:ascii="宋体"/>
                <w:b/>
                <w:sz w:val="24"/>
              </w:rPr>
            </w:pPr>
            <w:r>
              <w:rPr>
                <w:rFonts w:ascii="宋体" w:hAnsi="宋体"/>
                <w:b/>
                <w:sz w:val="24"/>
              </w:rPr>
              <w:t>2</w:t>
            </w:r>
          </w:p>
        </w:tc>
        <w:tc>
          <w:tcPr>
            <w:tcW w:w="3216" w:type="dxa"/>
            <w:vAlign w:val="center"/>
          </w:tcPr>
          <w:p>
            <w:pPr>
              <w:spacing w:line="500" w:lineRule="exact"/>
              <w:jc w:val="center"/>
              <w:rPr>
                <w:rFonts w:hint="eastAsia" w:ascii="宋体" w:eastAsiaTheme="minorEastAsia"/>
                <w:sz w:val="24"/>
                <w:lang w:eastAsia="zh-CN"/>
              </w:rPr>
            </w:pPr>
            <w:r>
              <w:rPr>
                <w:rFonts w:hint="eastAsia" w:ascii="宋体" w:hAnsi="宋体"/>
                <w:sz w:val="24"/>
                <w:lang w:eastAsia="zh-CN"/>
              </w:rPr>
              <w:t>付款方式是否满足</w:t>
            </w:r>
          </w:p>
        </w:tc>
        <w:tc>
          <w:tcPr>
            <w:tcW w:w="4841" w:type="dxa"/>
            <w:vAlign w:val="center"/>
          </w:tcPr>
          <w:p>
            <w:pPr>
              <w:spacing w:line="500" w:lineRule="exact"/>
              <w:ind w:firstLine="1200" w:firstLineChars="500"/>
              <w:rPr>
                <w:rFonts w:hint="eastAsia" w:ascii="宋体" w:eastAsiaTheme="minorEastAsia"/>
                <w:sz w:val="24"/>
                <w:lang w:eastAsia="zh-CN"/>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82" w:type="dxa"/>
            <w:vAlign w:val="center"/>
          </w:tcPr>
          <w:p>
            <w:pPr>
              <w:spacing w:line="500" w:lineRule="exact"/>
              <w:jc w:val="center"/>
              <w:rPr>
                <w:rFonts w:hint="eastAsia" w:ascii="宋体" w:hAnsi="宋体" w:eastAsiaTheme="minorEastAsia"/>
                <w:b/>
                <w:sz w:val="24"/>
                <w:lang w:val="en-US" w:eastAsia="zh-CN"/>
              </w:rPr>
            </w:pPr>
            <w:r>
              <w:rPr>
                <w:rFonts w:hint="eastAsia" w:ascii="宋体" w:hAnsi="宋体"/>
                <w:b/>
                <w:sz w:val="24"/>
                <w:lang w:val="en-US" w:eastAsia="zh-CN"/>
              </w:rPr>
              <w:t>3</w:t>
            </w:r>
          </w:p>
        </w:tc>
        <w:tc>
          <w:tcPr>
            <w:tcW w:w="3216" w:type="dxa"/>
            <w:vAlign w:val="center"/>
          </w:tcPr>
          <w:p>
            <w:pPr>
              <w:spacing w:line="500" w:lineRule="exact"/>
              <w:jc w:val="center"/>
              <w:rPr>
                <w:rFonts w:hint="eastAsia" w:ascii="宋体"/>
                <w:sz w:val="24"/>
                <w:lang w:eastAsia="zh-CN"/>
              </w:rPr>
            </w:pPr>
            <w:r>
              <w:rPr>
                <w:rFonts w:hint="eastAsia" w:ascii="宋体"/>
                <w:sz w:val="24"/>
                <w:lang w:eastAsia="zh-CN"/>
              </w:rPr>
              <w:t>工期是否满足</w:t>
            </w:r>
          </w:p>
        </w:tc>
        <w:tc>
          <w:tcPr>
            <w:tcW w:w="4841" w:type="dxa"/>
            <w:vAlign w:val="center"/>
          </w:tcPr>
          <w:p>
            <w:pPr>
              <w:spacing w:line="500" w:lineRule="exact"/>
              <w:ind w:firstLine="1200" w:firstLineChars="500"/>
              <w:rPr>
                <w:rFonts w:ascii="宋体"/>
                <w:sz w:val="24"/>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82" w:type="dxa"/>
            <w:vAlign w:val="center"/>
          </w:tcPr>
          <w:p>
            <w:pPr>
              <w:spacing w:line="500" w:lineRule="exact"/>
              <w:jc w:val="center"/>
              <w:rPr>
                <w:rFonts w:hint="eastAsia" w:ascii="宋体" w:eastAsiaTheme="minorEastAsia"/>
                <w:b/>
                <w:sz w:val="24"/>
                <w:lang w:val="en-US" w:eastAsia="zh-CN"/>
              </w:rPr>
            </w:pPr>
            <w:r>
              <w:rPr>
                <w:rFonts w:hint="eastAsia" w:ascii="宋体"/>
                <w:b/>
                <w:sz w:val="24"/>
                <w:lang w:val="en-US" w:eastAsia="zh-CN"/>
              </w:rPr>
              <w:t>4</w:t>
            </w:r>
          </w:p>
        </w:tc>
        <w:tc>
          <w:tcPr>
            <w:tcW w:w="3216" w:type="dxa"/>
            <w:vAlign w:val="center"/>
          </w:tcPr>
          <w:p>
            <w:pPr>
              <w:spacing w:line="500" w:lineRule="exact"/>
              <w:jc w:val="center"/>
              <w:rPr>
                <w:rFonts w:hint="eastAsia" w:ascii="宋体" w:eastAsiaTheme="minorEastAsia"/>
                <w:sz w:val="24"/>
                <w:lang w:eastAsia="zh-CN"/>
              </w:rPr>
            </w:pPr>
            <w:r>
              <w:rPr>
                <w:rFonts w:hint="eastAsia" w:ascii="宋体"/>
                <w:sz w:val="24"/>
                <w:lang w:eastAsia="zh-CN"/>
              </w:rPr>
              <w:t>其他优惠条件</w:t>
            </w:r>
          </w:p>
        </w:tc>
        <w:tc>
          <w:tcPr>
            <w:tcW w:w="4841" w:type="dxa"/>
            <w:vAlign w:val="center"/>
          </w:tcPr>
          <w:p>
            <w:pPr>
              <w:spacing w:line="500" w:lineRule="exact"/>
              <w:ind w:firstLine="1200" w:firstLineChars="500"/>
              <w:rPr>
                <w:rFonts w:ascii="宋体"/>
                <w:sz w:val="24"/>
              </w:rPr>
            </w:pPr>
          </w:p>
        </w:tc>
      </w:tr>
    </w:tbl>
    <w:p>
      <w:pPr>
        <w:spacing w:line="480" w:lineRule="auto"/>
        <w:ind w:firstLine="354" w:firstLineChars="147"/>
        <w:rPr>
          <w:rFonts w:ascii="宋体" w:cs="宋体"/>
          <w:b/>
          <w:sz w:val="24"/>
          <w:u w:val="single"/>
        </w:rPr>
      </w:pPr>
      <w:r>
        <w:rPr>
          <w:rFonts w:hint="eastAsia" w:ascii="宋体" w:hAnsi="宋体" w:cs="宋体"/>
          <w:b/>
          <w:sz w:val="24"/>
        </w:rPr>
        <w:t>供应商名称（盖章）</w:t>
      </w:r>
      <w:r>
        <w:rPr>
          <w:rFonts w:ascii="宋体" w:hAnsi="宋体" w:cs="宋体"/>
          <w:b/>
          <w:sz w:val="24"/>
        </w:rPr>
        <w:t xml:space="preserve"> </w:t>
      </w:r>
      <w:r>
        <w:rPr>
          <w:rFonts w:hint="eastAsia" w:ascii="宋体" w:hAnsi="宋体" w:cs="宋体"/>
          <w:b/>
          <w:sz w:val="24"/>
        </w:rPr>
        <w:t>：</w:t>
      </w:r>
    </w:p>
    <w:p>
      <w:pPr>
        <w:spacing w:line="480" w:lineRule="auto"/>
        <w:ind w:firstLine="354" w:firstLineChars="147"/>
        <w:rPr>
          <w:rFonts w:hAnsi="宋体" w:cs="宋体"/>
          <w:b/>
          <w:sz w:val="24"/>
        </w:rPr>
      </w:pPr>
      <w:r>
        <w:rPr>
          <w:rFonts w:hint="eastAsia" w:ascii="宋体" w:hAnsi="宋体" w:cs="宋体"/>
          <w:b/>
          <w:sz w:val="24"/>
        </w:rPr>
        <w:t>法定代表人或授权代表签字：</w:t>
      </w:r>
    </w:p>
    <w:p>
      <w:pPr>
        <w:numPr>
          <w:ilvl w:val="0"/>
          <w:numId w:val="0"/>
        </w:numPr>
        <w:jc w:val="center"/>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M2ZhZTEwNDlkYWNkNGI0MTU4NzYyNGM3NGYwZTQifQ=="/>
  </w:docVars>
  <w:rsids>
    <w:rsidRoot w:val="00000000"/>
    <w:rsid w:val="02A227A1"/>
    <w:rsid w:val="04BF4C64"/>
    <w:rsid w:val="05D615C1"/>
    <w:rsid w:val="0A7C50CD"/>
    <w:rsid w:val="0B407761"/>
    <w:rsid w:val="0C35526A"/>
    <w:rsid w:val="0DDC3A38"/>
    <w:rsid w:val="0EDB6D55"/>
    <w:rsid w:val="0F221A78"/>
    <w:rsid w:val="13546543"/>
    <w:rsid w:val="16F70EB5"/>
    <w:rsid w:val="1F352F93"/>
    <w:rsid w:val="28920DC2"/>
    <w:rsid w:val="28E924BD"/>
    <w:rsid w:val="2C8A649C"/>
    <w:rsid w:val="2D6825AD"/>
    <w:rsid w:val="30200CDA"/>
    <w:rsid w:val="31481E02"/>
    <w:rsid w:val="3194585B"/>
    <w:rsid w:val="332A453A"/>
    <w:rsid w:val="334D61FE"/>
    <w:rsid w:val="34C719E7"/>
    <w:rsid w:val="37491C02"/>
    <w:rsid w:val="374A05A7"/>
    <w:rsid w:val="384D42A5"/>
    <w:rsid w:val="385A7452"/>
    <w:rsid w:val="3A451DB4"/>
    <w:rsid w:val="411E653D"/>
    <w:rsid w:val="42E842E2"/>
    <w:rsid w:val="4B5F07FC"/>
    <w:rsid w:val="4C1C20FA"/>
    <w:rsid w:val="52A907F9"/>
    <w:rsid w:val="53997482"/>
    <w:rsid w:val="53E9246D"/>
    <w:rsid w:val="54901979"/>
    <w:rsid w:val="5D6773B1"/>
    <w:rsid w:val="601F081B"/>
    <w:rsid w:val="606856F7"/>
    <w:rsid w:val="641F4E2B"/>
    <w:rsid w:val="64B87C45"/>
    <w:rsid w:val="659D6464"/>
    <w:rsid w:val="66652D12"/>
    <w:rsid w:val="6675282C"/>
    <w:rsid w:val="68A652DE"/>
    <w:rsid w:val="6C7A7016"/>
    <w:rsid w:val="7133708A"/>
    <w:rsid w:val="715576D5"/>
    <w:rsid w:val="73AE23F9"/>
    <w:rsid w:val="74995C85"/>
    <w:rsid w:val="7558527D"/>
    <w:rsid w:val="78C57A52"/>
    <w:rsid w:val="7B5F033E"/>
    <w:rsid w:val="7D6363DE"/>
    <w:rsid w:val="7FAF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semiHidden/>
    <w:unhideWhenUsed/>
    <w:qFormat/>
    <w:uiPriority w:val="99"/>
    <w:pPr>
      <w:spacing w:after="120"/>
      <w:ind w:left="420" w:leftChars="200"/>
    </w:p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2"/>
      <w:sz w:val="28"/>
      <w:szCs w:val="28"/>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1050</Words>
  <Characters>1109</Characters>
  <Lines>0</Lines>
  <Paragraphs>0</Paragraphs>
  <TotalTime>10</TotalTime>
  <ScaleCrop>false</ScaleCrop>
  <LinksUpToDate>false</LinksUpToDate>
  <CharactersWithSpaces>1113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2022-05-16T08:55:00Z</dcterms:created>
  <dc:creator>Administrator.BF-20200609AMBW</dc:creator>
  <cp:lastModifiedBy>-24℃</cp:lastModifiedBy>
  <cp:lastPrinted>2023-11-09T03:44:00Z</cp:lastPrinted>
  <dcterms:modified xsi:type="dcterms:W3CDTF">2023-12-23T00:22:59Z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62D86F837B354A96AC3CA72E96F27DA3</vt:lpwstr>
  </property>
</Properties>
</file>