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1、付款方式：签订合同，设备安装验收合格后，三个月内付清全款。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质保期：质保至少1年</w:t>
      </w:r>
    </w:p>
    <w:p>
      <w:pPr>
        <w:numPr>
          <w:ilvl w:val="0"/>
          <w:numId w:val="0"/>
        </w:numPr>
      </w:pPr>
      <w:r>
        <w:rPr>
          <w:rFonts w:hint="eastAsia"/>
          <w:sz w:val="24"/>
          <w:szCs w:val="24"/>
          <w:lang w:val="en-US" w:eastAsia="zh-CN"/>
        </w:rPr>
        <w:t>4、报价为一次性报价，货物的生产、包装、运输、装卸、安装、调试、培训、验收、保险、税金、运杂、安装所需的零部件、附材及质保服务等全部费用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任何错报、漏报由供应商自行负责。</w:t>
      </w: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报价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胶囊式内窥镜系统报价（2分）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2.胶囊式内窥镜报价（1分）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报价得分=(基准价/最后报价)*20%（或10%）*10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根据供应商所报产品的应用运行、技术流程、应用技术支持等进行评分（0-1分）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2、对供应商所报产品的技术成熟度、使用寿命、效能等进行评分（0-1分）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3、结合产品的操作方便性、易维护性、安全性进行评分（0-1分）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4、具有详细的安装调试方案、技术保障，对提供的技术安装人员配置及培训方案进行评分（0-1分）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根据供应商提供的售后服务措施、响应时间、质保期内提供的质保内容和范围进行综合评分（0-2分）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 1分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进行评分（0-1分）</w:t>
            </w:r>
          </w:p>
        </w:tc>
      </w:tr>
    </w:tbl>
    <w:p>
      <w:pPr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注：报价得分按胶囊式内窥镜系统和内窥镜分别进行核算。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四、设备参数及要求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胶囊式内窥镜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1、顶点视场角：≥160°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2、景深：≥0-35mm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3、分辨力：≥8lp/mm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4、分辨率：≥512×512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5、防水等级IPX8。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图像记录仪参数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1、存储卡容量：≥8GB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2、连续工作时间：≥12h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3、天线单元数量：≥4个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4、具有LED显示屏。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5、内部电源：内置锂充电电池，电池容量：≥9000mAh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胶囊式内窥镜姿态控制器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1、外表面磁场强度：可调范围≥200mT-350mT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2、控制器对在体外时的胶囊式内窥镜控制距离：≥0mm-250mm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3、单手灵活操作，驱动胶囊式内窥镜在胃腔内滚动、旋转和倾斜运动，实现对胶囊式内窥镜的运动控制和姿态调整。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影像分析处理软件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具备图像监控、数据分析与储存功能。在胃部检查过程中，操作者通过监控界面进行实时监控。检查完成后，图像记录仪内的信号数据下载至软件中，阅片者通过对图像浏览、分析，生成检查报告。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图像数据处理要求快捷，下载速度≤15分钟。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外围设备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1、电脑工作站：处理器≥Intel Core i3，3.40GHZ双核，内存≥8GB，硬盘≥1T，显示器≥23英寸。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2、配备彩色打印机。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3、配备一体化台车。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胶囊式内窥镜系统采购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1、胶囊式内窥镜系统：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/套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胶囊式内窥镜：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left="0" w:leftChars="0" w:firstLine="1440" w:firstLineChars="6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lang w:val="en-US" w:eastAsia="zh-CN"/>
              </w:rPr>
              <w:t>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其他付款方式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4841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pStyle w:val="2"/>
              <w:ind w:left="0" w:leftChars="0" w:right="0" w:rightChars="0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91A5004"/>
    <w:rsid w:val="1A313A8E"/>
    <w:rsid w:val="1F352F93"/>
    <w:rsid w:val="21E6036C"/>
    <w:rsid w:val="22517395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411E653D"/>
    <w:rsid w:val="42E842E2"/>
    <w:rsid w:val="4B5F07FC"/>
    <w:rsid w:val="4B8F05FF"/>
    <w:rsid w:val="4C1C20FA"/>
    <w:rsid w:val="4EAF450E"/>
    <w:rsid w:val="51A234FE"/>
    <w:rsid w:val="52A907F9"/>
    <w:rsid w:val="54901979"/>
    <w:rsid w:val="59803AD5"/>
    <w:rsid w:val="5CDE7853"/>
    <w:rsid w:val="5D6773B1"/>
    <w:rsid w:val="606856F7"/>
    <w:rsid w:val="641F4E2B"/>
    <w:rsid w:val="64A51E4B"/>
    <w:rsid w:val="66652D12"/>
    <w:rsid w:val="6675282C"/>
    <w:rsid w:val="676B2ACA"/>
    <w:rsid w:val="68A652DE"/>
    <w:rsid w:val="6ABF2282"/>
    <w:rsid w:val="6C222C55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1276</Characters>
  <Lines>0</Lines>
  <Paragraphs>0</Paragraphs>
  <TotalTime>1</TotalTime>
  <ScaleCrop>false</ScaleCrop>
  <LinksUpToDate>false</LinksUpToDate>
  <CharactersWithSpaces>1335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2024-05-23T07:39:00Z</cp:lastPrinted>
  <dcterms:modified xsi:type="dcterms:W3CDTF">2024-05-24T01:15:33Z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297FD9190EE940ED805E5EE84FC140E8_13</vt:lpwstr>
  </property>
</Properties>
</file>