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1、付款方式：签订合同，设备安装验收合格后，3个月内一次性付清全款。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2、设备安装期：7天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质保期：质保至少1年</w:t>
      </w:r>
    </w:p>
    <w:p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4、报价为一次性报价，货物的生产、包装、运输、装卸、安装、调试、培训、验收、保险、税金、运杂、安装所需的零部件、附材及质保服务等全部费用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eastAsia="zh-CN"/>
        </w:rPr>
        <w:t>任何错报、漏报由供应商自行负责。</w:t>
      </w:r>
    </w:p>
    <w:p>
      <w:pPr>
        <w:pStyle w:val="2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5、设备参数及要求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（1）用作血液细胞计数、白细胞三分类。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（2）工作原理：电阻抗法计数，无氰化物法检测HGB。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（3）检测参数：≥21项报告参数。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（4）直方图：3个直方图（包括WBC\RBC\PLT）。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（5）测量模式：全血模式、预稀释模式，独立血红蛋白测量系统。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（6）工作速度：≥60样本/小时。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（7）排堵功能：具有正反冲、高压灼烧、浸泡等多种排堵方式。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（8）报警提示：主界面具有WBC、RBC、PLT结果异常报警功能。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（9）具备彩色液晶触摸显示屏。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（10）报告打印：内置高效热敏打印机，可选USB接口打印机。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（11）线性范围：WBC：0-300×109/L；RBC：0-8×1012/L；HGB：0-280g/L；PLT：0-4000×109/L。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（12）支持连接LIS/HIS系统。</w:t>
      </w:r>
    </w:p>
    <w:p>
      <w:pPr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br w:type="page"/>
      </w: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根据供应商所报产品的应用运行、技术流程、应用技术支持等进行评分（0-1分）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2、对供应商所报产品的技术成熟度、使用寿命、效能等进行评分（0-1分）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3、结合产品的操作方便性、易维护性、安全性进行评分（0-1分）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4、具有详细的安装调试方案、技术保障，对提供的技术安装人员配置及培训方案进行评分（0-1分）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合理化建议 1分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进行评分（0-1分）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血液细胞分析仪</w:t>
            </w:r>
            <w:r>
              <w:rPr>
                <w:rFonts w:hint="eastAsia" w:ascii="宋体"/>
                <w:sz w:val="24"/>
                <w:lang w:eastAsia="zh-CN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合理化建议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411E653D"/>
    <w:rsid w:val="42E842E2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1047</Characters>
  <Lines>0</Lines>
  <Paragraphs>0</Paragraphs>
  <TotalTime>0</TotalTime>
  <ScaleCrop>false</ScaleCrop>
  <LinksUpToDate>false</LinksUpToDate>
  <CharactersWithSpaces>1099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2024-07-15T07:46:45Z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297FD9190EE940ED805E5EE84FC140E8_13</vt:lpwstr>
  </property>
</Properties>
</file>