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B3FAAD">
      <w:pPr>
        <w:jc w:val="center"/>
        <w:rPr>
          <w:sz w:val="28"/>
          <w:szCs w:val="28"/>
        </w:rPr>
      </w:pPr>
      <w:r>
        <w:rPr>
          <w:rFonts w:hint="eastAsia" w:ascii="方正小标宋简体" w:hAnsi="方正小标宋简体" w:eastAsia="方正小标宋简体" w:cs="方正小标宋简体"/>
          <w:b/>
          <w:bCs/>
          <w:sz w:val="28"/>
          <w:szCs w:val="28"/>
        </w:rPr>
        <w:t>供应商须知</w:t>
      </w:r>
    </w:p>
    <w:p w14:paraId="3C889D37">
      <w:pPr>
        <w:rPr>
          <w:b/>
          <w:bCs/>
          <w:sz w:val="24"/>
        </w:rPr>
      </w:pPr>
      <w:r>
        <w:rPr>
          <w:rFonts w:hint="eastAsia"/>
          <w:b/>
          <w:bCs/>
          <w:sz w:val="24"/>
        </w:rPr>
        <w:t>一、供应商须提供证明材料</w:t>
      </w:r>
    </w:p>
    <w:p w14:paraId="22CE590D">
      <w:pPr>
        <w:rPr>
          <w:sz w:val="24"/>
        </w:rPr>
      </w:pPr>
      <w:r>
        <w:rPr>
          <w:rFonts w:hint="eastAsia"/>
          <w:sz w:val="24"/>
        </w:rPr>
        <w:t>1、营业执照（复印件加盖公章）</w:t>
      </w:r>
    </w:p>
    <w:p w14:paraId="77DF251D">
      <w:pPr>
        <w:rPr>
          <w:sz w:val="24"/>
        </w:rPr>
      </w:pPr>
      <w:r>
        <w:rPr>
          <w:rFonts w:hint="eastAsia"/>
          <w:sz w:val="24"/>
        </w:rPr>
        <w:t>2、法定代表人授权委托书及授权代表身份证复印件；</w:t>
      </w:r>
    </w:p>
    <w:p w14:paraId="62242493">
      <w:pPr>
        <w:rPr>
          <w:sz w:val="24"/>
        </w:rPr>
      </w:pPr>
      <w:r>
        <w:rPr>
          <w:rFonts w:hint="eastAsia"/>
          <w:sz w:val="24"/>
        </w:rPr>
        <w:t>3、报价表</w:t>
      </w:r>
    </w:p>
    <w:p w14:paraId="610A9C89">
      <w:pPr>
        <w:pStyle w:val="5"/>
        <w:rPr>
          <w:rFonts w:hint="default"/>
        </w:rPr>
      </w:pPr>
      <w:r>
        <w:rPr>
          <w:sz w:val="24"/>
          <w:szCs w:val="24"/>
        </w:rPr>
        <w:t>4、评分细则中相关资料</w:t>
      </w:r>
    </w:p>
    <w:p w14:paraId="1B9074CC">
      <w:pPr>
        <w:rPr>
          <w:b/>
          <w:bCs/>
          <w:sz w:val="24"/>
          <w:u w:val="single"/>
        </w:rPr>
      </w:pPr>
      <w:r>
        <w:rPr>
          <w:rFonts w:hint="eastAsia"/>
          <w:b/>
          <w:bCs/>
          <w:sz w:val="24"/>
          <w:u w:val="single"/>
        </w:rPr>
        <w:t>按以上要求提供证相关证件及资料各一份、不可缺项，按顺序装订。</w:t>
      </w:r>
    </w:p>
    <w:p w14:paraId="47378668">
      <w:pPr>
        <w:rPr>
          <w:sz w:val="24"/>
        </w:rPr>
      </w:pPr>
    </w:p>
    <w:p w14:paraId="43EE768F">
      <w:pPr>
        <w:rPr>
          <w:b/>
          <w:bCs/>
          <w:sz w:val="24"/>
        </w:rPr>
      </w:pPr>
      <w:r>
        <w:rPr>
          <w:rFonts w:hint="eastAsia"/>
          <w:b/>
          <w:bCs/>
          <w:sz w:val="24"/>
        </w:rPr>
        <w:t>二、供应商须满足以下要求</w:t>
      </w:r>
    </w:p>
    <w:p w14:paraId="03110BCE">
      <w:pPr>
        <w:rPr>
          <w:sz w:val="24"/>
          <w:highlight w:val="none"/>
        </w:rPr>
      </w:pPr>
      <w:r>
        <w:rPr>
          <w:rFonts w:hint="eastAsia"/>
          <w:sz w:val="24"/>
        </w:rPr>
        <w:t>1、付款方式：按月或</w:t>
      </w:r>
      <w:r>
        <w:rPr>
          <w:rFonts w:hint="eastAsia"/>
          <w:sz w:val="24"/>
          <w:highlight w:val="none"/>
        </w:rPr>
        <w:t>季度付款。</w:t>
      </w:r>
    </w:p>
    <w:p w14:paraId="4439D83D">
      <w:pPr>
        <w:rPr>
          <w:sz w:val="24"/>
          <w:highlight w:val="none"/>
        </w:rPr>
      </w:pPr>
      <w:r>
        <w:rPr>
          <w:rFonts w:hint="eastAsia"/>
          <w:sz w:val="24"/>
          <w:highlight w:val="none"/>
        </w:rPr>
        <w:t>2、设备到货安装期：合同签订后10日历天内交货安装完毕。</w:t>
      </w:r>
    </w:p>
    <w:p w14:paraId="25737B34">
      <w:pPr>
        <w:pStyle w:val="5"/>
        <w:rPr>
          <w:rFonts w:hint="default"/>
          <w:sz w:val="24"/>
          <w:szCs w:val="24"/>
          <w:highlight w:val="none"/>
        </w:rPr>
      </w:pPr>
      <w:r>
        <w:rPr>
          <w:rFonts w:hint="default" w:asciiTheme="minorHAnsi" w:hAnsiTheme="minorHAnsi"/>
          <w:sz w:val="24"/>
          <w:szCs w:val="24"/>
          <w:highlight w:val="none"/>
        </w:rPr>
        <w:t>3、</w:t>
      </w:r>
      <w:r>
        <w:rPr>
          <w:sz w:val="24"/>
          <w:szCs w:val="24"/>
          <w:highlight w:val="none"/>
        </w:rPr>
        <w:t>合作期：计划1年</w:t>
      </w:r>
    </w:p>
    <w:p w14:paraId="28EAF0A4">
      <w:pPr>
        <w:pStyle w:val="5"/>
        <w:rPr>
          <w:rFonts w:hint="default" w:asciiTheme="minorHAnsi" w:hAnsiTheme="minorHAnsi"/>
          <w:sz w:val="24"/>
          <w:szCs w:val="24"/>
          <w:highlight w:val="none"/>
        </w:rPr>
      </w:pPr>
      <w:r>
        <w:rPr>
          <w:rFonts w:hint="default" w:asciiTheme="minorHAnsi" w:hAnsiTheme="minorHAnsi"/>
          <w:sz w:val="24"/>
          <w:szCs w:val="24"/>
          <w:highlight w:val="none"/>
        </w:rPr>
        <w:t>4、租赁期间公司负责设备全保，包括保养、维修、检测、配件更换等。</w:t>
      </w:r>
    </w:p>
    <w:p w14:paraId="2C7CF14B">
      <w:r>
        <w:rPr>
          <w:rFonts w:hint="eastAsia"/>
          <w:sz w:val="24"/>
        </w:rPr>
        <w:t>5、报价应包含完成本项目全部内容所发生的一切费用，包含但不限于完成本项目所有内容的材料费、设备、机械、制作、包装、运输、保管费、保险、售后服务、维保费、利润、税金、装卸费、安装调试费、政策性文件规定及合同包含的所有风险、责任等一切费用。</w:t>
      </w:r>
    </w:p>
    <w:p w14:paraId="5F3666FB">
      <w:pPr>
        <w:pStyle w:val="5"/>
        <w:rPr>
          <w:rFonts w:hint="default" w:hAnsi="宋体" w:cs="宋体"/>
          <w:b/>
          <w:bCs/>
          <w:sz w:val="24"/>
          <w:szCs w:val="24"/>
        </w:rPr>
      </w:pPr>
      <w:r>
        <w:rPr>
          <w:rFonts w:hAnsi="宋体" w:cs="宋体"/>
          <w:b/>
          <w:bCs/>
          <w:sz w:val="24"/>
          <w:szCs w:val="24"/>
        </w:rPr>
        <w:t>三、评分细则（10分）</w:t>
      </w:r>
    </w:p>
    <w:tbl>
      <w:tblPr>
        <w:tblStyle w:val="7"/>
        <w:tblW w:w="8160" w:type="dxa"/>
        <w:tblInd w:w="93" w:type="dxa"/>
        <w:tblLayout w:type="fixed"/>
        <w:tblCellMar>
          <w:top w:w="0" w:type="dxa"/>
          <w:left w:w="108" w:type="dxa"/>
          <w:bottom w:w="0" w:type="dxa"/>
          <w:right w:w="108" w:type="dxa"/>
        </w:tblCellMar>
      </w:tblPr>
      <w:tblGrid>
        <w:gridCol w:w="678"/>
        <w:gridCol w:w="2350"/>
        <w:gridCol w:w="5132"/>
      </w:tblGrid>
      <w:tr w14:paraId="249652EB">
        <w:tblPrEx>
          <w:tblCellMar>
            <w:top w:w="0" w:type="dxa"/>
            <w:left w:w="108" w:type="dxa"/>
            <w:bottom w:w="0" w:type="dxa"/>
            <w:right w:w="108" w:type="dxa"/>
          </w:tblCellMar>
        </w:tblPrEx>
        <w:trPr>
          <w:trHeight w:val="468"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B1D84">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序</w:t>
            </w:r>
          </w:p>
        </w:tc>
        <w:tc>
          <w:tcPr>
            <w:tcW w:w="2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D7486">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主要内容及分值</w:t>
            </w:r>
          </w:p>
        </w:tc>
        <w:tc>
          <w:tcPr>
            <w:tcW w:w="51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73FAA">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评分方法</w:t>
            </w:r>
          </w:p>
        </w:tc>
      </w:tr>
      <w:tr w14:paraId="370607C4">
        <w:tblPrEx>
          <w:tblCellMar>
            <w:top w:w="0" w:type="dxa"/>
            <w:left w:w="108" w:type="dxa"/>
            <w:bottom w:w="0" w:type="dxa"/>
            <w:right w:w="108" w:type="dxa"/>
          </w:tblCellMar>
        </w:tblPrEx>
        <w:trPr>
          <w:trHeight w:val="1928"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697D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一</w:t>
            </w:r>
          </w:p>
        </w:tc>
        <w:tc>
          <w:tcPr>
            <w:tcW w:w="2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41A54">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 xml:space="preserve">报价  </w:t>
            </w:r>
          </w:p>
          <w:p w14:paraId="1E6179BC">
            <w:pPr>
              <w:pStyle w:val="5"/>
              <w:rPr>
                <w:rFonts w:hint="default"/>
              </w:rPr>
            </w:pPr>
            <w:r>
              <w:rPr>
                <w:rFonts w:hAnsi="宋体" w:cs="宋体"/>
                <w:color w:val="000000"/>
                <w:kern w:val="0"/>
                <w:sz w:val="24"/>
                <w:szCs w:val="24"/>
              </w:rPr>
              <w:t>3分</w:t>
            </w:r>
          </w:p>
        </w:tc>
        <w:tc>
          <w:tcPr>
            <w:tcW w:w="51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752BA">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报价最低的供应商的价格为基准价，其价格分为满分。其他供应商的价格分统一按照下列公式计算:</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报价得分=(基准价/最后报价)*20%（或10%）*10</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注:小数点后保留2位有效数字</w:t>
            </w:r>
          </w:p>
        </w:tc>
      </w:tr>
      <w:tr w14:paraId="6FA3248A">
        <w:tblPrEx>
          <w:tblCellMar>
            <w:top w:w="0" w:type="dxa"/>
            <w:left w:w="108" w:type="dxa"/>
            <w:bottom w:w="0" w:type="dxa"/>
            <w:right w:w="108" w:type="dxa"/>
          </w:tblCellMar>
        </w:tblPrEx>
        <w:trPr>
          <w:trHeight w:val="2569"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61228">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二</w:t>
            </w:r>
          </w:p>
        </w:tc>
        <w:tc>
          <w:tcPr>
            <w:tcW w:w="2350" w:type="dxa"/>
            <w:tcBorders>
              <w:top w:val="single" w:color="000000" w:sz="4" w:space="0"/>
              <w:left w:val="single" w:color="000000" w:sz="4" w:space="0"/>
              <w:right w:val="single" w:color="000000" w:sz="4" w:space="0"/>
            </w:tcBorders>
            <w:shd w:val="clear" w:color="auto" w:fill="auto"/>
            <w:vAlign w:val="center"/>
          </w:tcPr>
          <w:p w14:paraId="5D8A7E09">
            <w:pPr>
              <w:widowControl/>
              <w:jc w:val="left"/>
              <w:textAlignment w:val="center"/>
              <w:rPr>
                <w:rFonts w:ascii="宋体" w:hAnsi="宋体" w:eastAsia="宋体" w:cs="宋体"/>
                <w:color w:val="000000"/>
                <w:sz w:val="24"/>
              </w:rPr>
            </w:pPr>
            <w:r>
              <w:rPr>
                <w:rFonts w:hint="eastAsia" w:ascii="宋体" w:hAnsi="宋体" w:eastAsia="宋体" w:cs="宋体"/>
                <w:color w:val="000000"/>
                <w:kern w:val="0"/>
                <w:sz w:val="24"/>
              </w:rPr>
              <w:t>设备技术参数</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3分</w:t>
            </w:r>
          </w:p>
        </w:tc>
        <w:tc>
          <w:tcPr>
            <w:tcW w:w="51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E86D0">
            <w:pPr>
              <w:widowControl/>
              <w:jc w:val="left"/>
              <w:textAlignment w:val="center"/>
            </w:pPr>
            <w:r>
              <w:rPr>
                <w:rFonts w:hint="eastAsia" w:ascii="宋体" w:hAnsi="宋体" w:eastAsia="宋体" w:cs="宋体"/>
                <w:sz w:val="24"/>
              </w:rPr>
              <w:t>根据采购文件详细技术要求，对</w:t>
            </w:r>
            <w:r>
              <w:rPr>
                <w:rFonts w:hint="eastAsia" w:eastAsia="宋体" w:cs="宋体"/>
                <w:sz w:val="24"/>
              </w:rPr>
              <w:t>供应商</w:t>
            </w:r>
            <w:r>
              <w:rPr>
                <w:rFonts w:hint="eastAsia" w:ascii="宋体" w:hAnsi="宋体" w:eastAsia="宋体" w:cs="宋体"/>
                <w:sz w:val="24"/>
              </w:rPr>
              <w:t>提供的技术偏离表及技术支持资料进行逐条对比，根据货物功能、质量、详细配置、技术性能指标的响应或偏离情况进行评价，共3分，</w:t>
            </w:r>
            <w:r>
              <w:rPr>
                <w:rFonts w:hint="eastAsia" w:hAnsi="宋体" w:cs="宋体"/>
                <w:sz w:val="24"/>
              </w:rPr>
              <w:t>每有一处瑕疵或不合理或不完善或弱势项最多减0.5分，减完为止。无此项内容不得分。</w:t>
            </w:r>
          </w:p>
        </w:tc>
      </w:tr>
      <w:tr w14:paraId="1F0D60F3">
        <w:tblPrEx>
          <w:tblCellMar>
            <w:top w:w="0" w:type="dxa"/>
            <w:left w:w="108" w:type="dxa"/>
            <w:bottom w:w="0" w:type="dxa"/>
            <w:right w:w="108" w:type="dxa"/>
          </w:tblCellMar>
        </w:tblPrEx>
        <w:trPr>
          <w:trHeight w:val="2127"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3789B">
            <w:pPr>
              <w:jc w:val="center"/>
              <w:rPr>
                <w:rFonts w:ascii="宋体" w:hAnsi="宋体" w:eastAsia="宋体" w:cs="宋体"/>
                <w:color w:val="000000"/>
                <w:sz w:val="24"/>
              </w:rPr>
            </w:pPr>
            <w:r>
              <w:rPr>
                <w:rFonts w:hint="eastAsia" w:ascii="宋体" w:hAnsi="宋体" w:eastAsia="宋体" w:cs="宋体"/>
                <w:color w:val="000000"/>
                <w:sz w:val="24"/>
              </w:rPr>
              <w:t>三</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0474F">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售后服务</w:t>
            </w:r>
          </w:p>
          <w:p w14:paraId="0A89B377">
            <w:pPr>
              <w:pStyle w:val="5"/>
              <w:rPr>
                <w:rFonts w:hint="default"/>
              </w:rPr>
            </w:pPr>
            <w:r>
              <w:rPr>
                <w:rFonts w:hAnsi="宋体" w:cs="宋体"/>
                <w:color w:val="000000"/>
                <w:kern w:val="0"/>
                <w:sz w:val="24"/>
                <w:szCs w:val="24"/>
              </w:rPr>
              <w:t>4分</w:t>
            </w:r>
          </w:p>
        </w:tc>
        <w:tc>
          <w:tcPr>
            <w:tcW w:w="51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37C56">
            <w:pPr>
              <w:widowControl/>
              <w:jc w:val="left"/>
              <w:textAlignment w:val="center"/>
              <w:rPr>
                <w:rFonts w:hAnsi="宋体" w:cs="宋体"/>
                <w:sz w:val="24"/>
              </w:rPr>
            </w:pPr>
            <w:r>
              <w:rPr>
                <w:rFonts w:hint="eastAsia" w:hAnsi="宋体" w:cs="宋体"/>
                <w:sz w:val="24"/>
              </w:rPr>
              <w:t>根据供应商提供的售后服务方案进行评审，包括维修服务人员的配备、响应时间、响应程度、定期回访、紧急故障处理预案等内容；</w:t>
            </w:r>
            <w:r>
              <w:rPr>
                <w:rFonts w:hint="eastAsia" w:ascii="宋体" w:hAnsi="宋体" w:eastAsia="宋体" w:cs="宋体"/>
                <w:sz w:val="24"/>
              </w:rPr>
              <w:t>0-2分</w:t>
            </w:r>
          </w:p>
          <w:p w14:paraId="54721443">
            <w:pPr>
              <w:pStyle w:val="5"/>
              <w:rPr>
                <w:rFonts w:hint="default"/>
              </w:rPr>
            </w:pPr>
            <w:r>
              <w:rPr>
                <w:rFonts w:hAnsi="宋体" w:cs="宋体"/>
                <w:sz w:val="24"/>
                <w:szCs w:val="24"/>
              </w:rPr>
              <w:t>根据供应商提供的项目实施过程中可能发生的突发事件，及其对应的详细应急措施情况进行综合打分。0-2分</w:t>
            </w:r>
          </w:p>
        </w:tc>
      </w:tr>
    </w:tbl>
    <w:p w14:paraId="06345EAE">
      <w:pPr>
        <w:rPr>
          <w:b/>
          <w:bCs/>
        </w:rPr>
      </w:pPr>
      <w:r>
        <w:rPr>
          <w:rFonts w:hint="eastAsia"/>
          <w:b/>
          <w:bCs/>
        </w:rPr>
        <w:t>注：请按照评分细则提供相关材料。</w:t>
      </w:r>
    </w:p>
    <w:p w14:paraId="760EC1F4">
      <w:pPr>
        <w:rPr>
          <w:sz w:val="32"/>
          <w:szCs w:val="32"/>
        </w:rPr>
      </w:pPr>
      <w:r>
        <w:rPr>
          <w:rFonts w:hint="eastAsia"/>
          <w:sz w:val="32"/>
          <w:szCs w:val="32"/>
        </w:rPr>
        <w:br w:type="page"/>
      </w:r>
    </w:p>
    <w:p w14:paraId="5F60449F">
      <w:pPr>
        <w:rPr>
          <w:b/>
          <w:bCs/>
          <w:sz w:val="24"/>
        </w:rPr>
      </w:pPr>
      <w:r>
        <w:rPr>
          <w:rFonts w:hint="eastAsia"/>
          <w:b/>
          <w:bCs/>
          <w:sz w:val="24"/>
        </w:rPr>
        <w:t>四、设备参数及要求</w:t>
      </w:r>
    </w:p>
    <w:p w14:paraId="7BAA2335">
      <w:pPr>
        <w:ind w:firstLine="480" w:firstLineChars="200"/>
        <w:rPr>
          <w:rFonts w:ascii="宋体" w:hAnsi="宋体" w:eastAsia="宋体" w:cs="宋体"/>
          <w:sz w:val="24"/>
        </w:rPr>
      </w:pPr>
      <w:r>
        <w:rPr>
          <w:rFonts w:hint="eastAsia" w:ascii="宋体" w:hAnsi="宋体" w:eastAsia="宋体" w:cs="宋体"/>
          <w:sz w:val="24"/>
        </w:rPr>
        <w:t>1、设备适用于产后盆底功能康复治疗，轻度、中度压力性尿失禁、以压力性尿失禁为主的混合性尿失禁的治疗，便秘的辅助治疗，盆腔器官脱垂、慢性盆腔疼痛的缓解、慢性盆腔炎的辅助治疗等。</w:t>
      </w:r>
    </w:p>
    <w:p w14:paraId="2C702D27">
      <w:pPr>
        <w:ind w:firstLine="480" w:firstLineChars="200"/>
        <w:rPr>
          <w:rFonts w:ascii="宋体" w:hAnsi="宋体" w:eastAsia="宋体" w:cs="宋体"/>
          <w:sz w:val="24"/>
        </w:rPr>
      </w:pPr>
      <w:r>
        <w:rPr>
          <w:rFonts w:hint="eastAsia" w:ascii="宋体" w:hAnsi="宋体" w:eastAsia="宋体" w:cs="宋体"/>
          <w:sz w:val="24"/>
        </w:rPr>
        <w:t>2、电刺激通道≥4个，肌电采集通道≥4个，压力反馈通道1个。</w:t>
      </w:r>
    </w:p>
    <w:p w14:paraId="6655FF2B">
      <w:pPr>
        <w:ind w:firstLine="480" w:firstLineChars="200"/>
        <w:rPr>
          <w:rFonts w:ascii="宋体" w:hAnsi="宋体" w:eastAsia="宋体" w:cs="宋体"/>
          <w:sz w:val="24"/>
        </w:rPr>
      </w:pPr>
      <w:r>
        <w:rPr>
          <w:rFonts w:hint="eastAsia" w:ascii="宋体" w:hAnsi="宋体" w:eastAsia="宋体" w:cs="宋体"/>
          <w:sz w:val="24"/>
        </w:rPr>
        <w:t>3、刺激电流频率：≥1-400HZ，范围内任意可调。</w:t>
      </w:r>
    </w:p>
    <w:p w14:paraId="1FDB1386">
      <w:pPr>
        <w:ind w:firstLine="480" w:firstLineChars="200"/>
        <w:rPr>
          <w:rFonts w:ascii="宋体" w:hAnsi="宋体" w:eastAsia="宋体" w:cs="宋体"/>
          <w:sz w:val="24"/>
        </w:rPr>
      </w:pPr>
      <w:r>
        <w:rPr>
          <w:rFonts w:hint="eastAsia" w:ascii="宋体" w:hAnsi="宋体" w:eastAsia="宋体" w:cs="宋体"/>
          <w:sz w:val="24"/>
        </w:rPr>
        <w:t>4、刺激电流宽度：≥100-1000us，范围内任意可调。</w:t>
      </w:r>
    </w:p>
    <w:p w14:paraId="584D16DF">
      <w:pPr>
        <w:ind w:firstLine="480" w:firstLineChars="200"/>
        <w:rPr>
          <w:rFonts w:ascii="宋体" w:hAnsi="宋体" w:eastAsia="宋体" w:cs="宋体"/>
          <w:sz w:val="24"/>
        </w:rPr>
      </w:pPr>
      <w:r>
        <w:rPr>
          <w:rFonts w:hint="eastAsia" w:ascii="宋体" w:hAnsi="宋体" w:eastAsia="宋体" w:cs="宋体"/>
          <w:sz w:val="24"/>
        </w:rPr>
        <w:t>5、刺激电流强度：≥0-50mA。</w:t>
      </w:r>
    </w:p>
    <w:p w14:paraId="4F4B3382">
      <w:pPr>
        <w:ind w:firstLine="480" w:firstLineChars="200"/>
        <w:rPr>
          <w:rFonts w:ascii="宋体" w:hAnsi="宋体" w:eastAsia="宋体" w:cs="宋体"/>
          <w:sz w:val="24"/>
        </w:rPr>
      </w:pPr>
      <w:r>
        <w:rPr>
          <w:rFonts w:hint="eastAsia" w:ascii="宋体" w:hAnsi="宋体" w:eastAsia="宋体" w:cs="宋体"/>
          <w:sz w:val="24"/>
        </w:rPr>
        <w:t>6、压力模块测量范围≥0-240mmHg。</w:t>
      </w:r>
    </w:p>
    <w:p w14:paraId="18EBFC08">
      <w:pPr>
        <w:ind w:firstLine="480" w:firstLineChars="200"/>
        <w:rPr>
          <w:rFonts w:ascii="宋体" w:hAnsi="宋体" w:eastAsia="宋体" w:cs="宋体"/>
          <w:sz w:val="24"/>
        </w:rPr>
      </w:pPr>
      <w:r>
        <w:rPr>
          <w:rFonts w:hint="eastAsia" w:ascii="宋体" w:hAnsi="宋体" w:eastAsia="宋体" w:cs="宋体"/>
          <w:sz w:val="24"/>
        </w:rPr>
        <w:t>7、具备盆腹动力评估系统。</w:t>
      </w:r>
    </w:p>
    <w:p w14:paraId="4A035DE2">
      <w:pPr>
        <w:ind w:firstLine="480" w:firstLineChars="200"/>
        <w:rPr>
          <w:rFonts w:ascii="宋体" w:hAnsi="宋体" w:eastAsia="宋体" w:cs="宋体"/>
          <w:sz w:val="24"/>
        </w:rPr>
      </w:pPr>
      <w:r>
        <w:rPr>
          <w:rFonts w:hint="eastAsia" w:ascii="宋体" w:hAnsi="宋体" w:eastAsia="宋体" w:cs="宋体"/>
          <w:sz w:val="24"/>
        </w:rPr>
        <w:t>8、系统可根据盆底筛查或评估结果自动生成针对不同患者的疗程化盆底训练方案。</w:t>
      </w:r>
    </w:p>
    <w:p w14:paraId="23D1767A">
      <w:pPr>
        <w:ind w:firstLine="480" w:firstLineChars="200"/>
        <w:rPr>
          <w:rFonts w:ascii="宋体" w:hAnsi="宋体" w:eastAsia="宋体" w:cs="宋体"/>
          <w:sz w:val="24"/>
        </w:rPr>
      </w:pPr>
      <w:r>
        <w:rPr>
          <w:rFonts w:hint="eastAsia" w:ascii="宋体" w:hAnsi="宋体" w:eastAsia="宋体" w:cs="宋体"/>
          <w:sz w:val="24"/>
        </w:rPr>
        <w:t>9、输出脉冲电刺激波形可调。</w:t>
      </w:r>
    </w:p>
    <w:p w14:paraId="62968720">
      <w:pPr>
        <w:ind w:firstLine="480" w:firstLineChars="200"/>
        <w:rPr>
          <w:rFonts w:ascii="宋体" w:hAnsi="宋体" w:eastAsia="宋体" w:cs="宋体"/>
          <w:sz w:val="24"/>
        </w:rPr>
      </w:pPr>
      <w:r>
        <w:rPr>
          <w:rFonts w:hint="eastAsia" w:ascii="宋体" w:hAnsi="宋体" w:eastAsia="宋体" w:cs="宋体"/>
          <w:sz w:val="24"/>
        </w:rPr>
        <w:t>10、系统支持扫码读取患者信息，标配扫描器。</w:t>
      </w:r>
    </w:p>
    <w:p w14:paraId="04DDDF46">
      <w:pPr>
        <w:ind w:firstLine="480" w:firstLineChars="200"/>
        <w:rPr>
          <w:rFonts w:ascii="宋体" w:hAnsi="宋体" w:eastAsia="宋体" w:cs="宋体"/>
          <w:sz w:val="24"/>
        </w:rPr>
      </w:pPr>
      <w:r>
        <w:rPr>
          <w:rFonts w:hint="eastAsia" w:ascii="宋体" w:hAnsi="宋体" w:eastAsia="宋体" w:cs="宋体"/>
          <w:sz w:val="24"/>
        </w:rPr>
        <w:t>11、具有完整的专科病例记录系统。</w:t>
      </w:r>
    </w:p>
    <w:p w14:paraId="6D120099">
      <w:pPr>
        <w:ind w:firstLine="480" w:firstLineChars="200"/>
        <w:rPr>
          <w:rFonts w:ascii="宋体" w:hAnsi="宋体" w:eastAsia="宋体" w:cs="宋体"/>
          <w:sz w:val="24"/>
        </w:rPr>
      </w:pPr>
      <w:r>
        <w:rPr>
          <w:rFonts w:hint="eastAsia" w:ascii="宋体" w:hAnsi="宋体" w:eastAsia="宋体" w:cs="宋体"/>
          <w:sz w:val="24"/>
        </w:rPr>
        <w:t>12、文件中未提及属标配的功能、软件，须无条件提供。如有其他优惠请自报。</w:t>
      </w:r>
    </w:p>
    <w:p w14:paraId="0FCADDF3">
      <w:pPr>
        <w:ind w:firstLine="480" w:firstLineChars="200"/>
        <w:rPr>
          <w:sz w:val="32"/>
          <w:szCs w:val="32"/>
        </w:rPr>
      </w:pPr>
      <w:r>
        <w:rPr>
          <w:rFonts w:hint="eastAsia" w:ascii="宋体" w:hAnsi="宋体" w:eastAsia="宋体" w:cs="宋体"/>
          <w:sz w:val="24"/>
        </w:rPr>
        <w:t>13、配套耗材单独优惠报价。一次性使用阴道电极≤40元/个，阴道电极≤230元/个。</w:t>
      </w:r>
      <w:r>
        <w:rPr>
          <w:rFonts w:hint="eastAsia"/>
          <w:sz w:val="32"/>
          <w:szCs w:val="32"/>
        </w:rPr>
        <w:br w:type="page"/>
      </w:r>
    </w:p>
    <w:p w14:paraId="153CB257">
      <w:pPr>
        <w:jc w:val="center"/>
        <w:rPr>
          <w:rFonts w:ascii="宋体" w:hAnsi="宋体" w:eastAsia="宋体" w:cs="宋体"/>
          <w:b/>
          <w:bCs/>
          <w:sz w:val="32"/>
          <w:szCs w:val="32"/>
        </w:rPr>
      </w:pPr>
      <w:r>
        <w:rPr>
          <w:rFonts w:hint="eastAsia" w:ascii="宋体" w:hAnsi="宋体" w:eastAsia="宋体" w:cs="宋体"/>
          <w:b/>
          <w:bCs/>
          <w:sz w:val="32"/>
          <w:szCs w:val="32"/>
        </w:rPr>
        <w:t>报价表及设备配置清单</w:t>
      </w:r>
    </w:p>
    <w:tbl>
      <w:tblPr>
        <w:tblStyle w:val="7"/>
        <w:tblW w:w="8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2933"/>
        <w:gridCol w:w="5124"/>
      </w:tblGrid>
      <w:tr w14:paraId="26303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6" w:hRule="atLeast"/>
          <w:jc w:val="center"/>
        </w:trPr>
        <w:tc>
          <w:tcPr>
            <w:tcW w:w="782" w:type="dxa"/>
            <w:vAlign w:val="center"/>
          </w:tcPr>
          <w:p w14:paraId="33A66A12">
            <w:pPr>
              <w:spacing w:line="500" w:lineRule="exact"/>
              <w:jc w:val="center"/>
              <w:rPr>
                <w:rFonts w:ascii="宋体"/>
                <w:b/>
                <w:sz w:val="24"/>
              </w:rPr>
            </w:pPr>
            <w:r>
              <w:rPr>
                <w:rFonts w:hint="eastAsia" w:ascii="宋体" w:hAnsi="宋体"/>
                <w:b/>
                <w:sz w:val="24"/>
              </w:rPr>
              <w:t>序号</w:t>
            </w:r>
          </w:p>
        </w:tc>
        <w:tc>
          <w:tcPr>
            <w:tcW w:w="8057" w:type="dxa"/>
            <w:gridSpan w:val="2"/>
            <w:vAlign w:val="center"/>
          </w:tcPr>
          <w:p w14:paraId="123A7975">
            <w:pPr>
              <w:spacing w:line="500" w:lineRule="exact"/>
              <w:jc w:val="center"/>
              <w:rPr>
                <w:rFonts w:ascii="宋体"/>
                <w:b/>
                <w:sz w:val="24"/>
              </w:rPr>
            </w:pPr>
            <w:r>
              <w:rPr>
                <w:rFonts w:hint="eastAsia" w:ascii="宋体" w:hAnsi="宋体"/>
                <w:b/>
                <w:sz w:val="24"/>
              </w:rPr>
              <w:t>报价项目明细</w:t>
            </w:r>
          </w:p>
        </w:tc>
      </w:tr>
      <w:tr w14:paraId="2091A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8" w:hRule="atLeast"/>
          <w:jc w:val="center"/>
        </w:trPr>
        <w:tc>
          <w:tcPr>
            <w:tcW w:w="782" w:type="dxa"/>
            <w:vMerge w:val="restart"/>
            <w:vAlign w:val="center"/>
          </w:tcPr>
          <w:p w14:paraId="4F1E163E">
            <w:pPr>
              <w:spacing w:line="500" w:lineRule="exact"/>
              <w:jc w:val="center"/>
              <w:rPr>
                <w:rFonts w:ascii="宋体"/>
                <w:b/>
                <w:sz w:val="24"/>
              </w:rPr>
            </w:pPr>
            <w:r>
              <w:rPr>
                <w:rFonts w:hint="eastAsia" w:ascii="宋体"/>
                <w:b/>
                <w:sz w:val="24"/>
              </w:rPr>
              <w:t>1</w:t>
            </w:r>
          </w:p>
        </w:tc>
        <w:tc>
          <w:tcPr>
            <w:tcW w:w="2933" w:type="dxa"/>
            <w:vAlign w:val="center"/>
          </w:tcPr>
          <w:p w14:paraId="23111A07">
            <w:pPr>
              <w:spacing w:line="500" w:lineRule="exact"/>
              <w:ind w:left="120" w:hanging="120" w:hangingChars="50"/>
              <w:jc w:val="center"/>
              <w:textAlignment w:val="baseline"/>
              <w:rPr>
                <w:rFonts w:ascii="宋体"/>
                <w:sz w:val="24"/>
              </w:rPr>
            </w:pPr>
            <w:r>
              <w:rPr>
                <w:rFonts w:hint="eastAsia" w:ascii="宋体"/>
                <w:sz w:val="24"/>
              </w:rPr>
              <w:t>内容</w:t>
            </w:r>
          </w:p>
        </w:tc>
        <w:tc>
          <w:tcPr>
            <w:tcW w:w="5124" w:type="dxa"/>
            <w:vAlign w:val="center"/>
          </w:tcPr>
          <w:p w14:paraId="74123DF4">
            <w:pPr>
              <w:spacing w:line="500" w:lineRule="exact"/>
              <w:jc w:val="center"/>
              <w:rPr>
                <w:rFonts w:ascii="宋体"/>
                <w:sz w:val="24"/>
              </w:rPr>
            </w:pPr>
            <w:r>
              <w:rPr>
                <w:rFonts w:hint="eastAsia" w:ascii="宋体"/>
                <w:sz w:val="24"/>
              </w:rPr>
              <w:t>聊城市眼科医院生物刺激反馈仪</w:t>
            </w:r>
            <w:r>
              <w:rPr>
                <w:rFonts w:hint="eastAsia" w:ascii="宋体" w:hAnsi="宋体" w:eastAsia="宋体" w:cs="宋体"/>
                <w:sz w:val="24"/>
              </w:rPr>
              <w:t>租赁</w:t>
            </w:r>
            <w:r>
              <w:rPr>
                <w:rFonts w:hint="eastAsia" w:ascii="宋体"/>
                <w:sz w:val="24"/>
              </w:rPr>
              <w:t>项目</w:t>
            </w:r>
          </w:p>
        </w:tc>
      </w:tr>
      <w:tr w14:paraId="2DB5B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8" w:hRule="atLeast"/>
          <w:jc w:val="center"/>
        </w:trPr>
        <w:tc>
          <w:tcPr>
            <w:tcW w:w="782" w:type="dxa"/>
            <w:vMerge w:val="continue"/>
            <w:vAlign w:val="center"/>
          </w:tcPr>
          <w:p w14:paraId="2115F314">
            <w:pPr>
              <w:spacing w:line="500" w:lineRule="exact"/>
              <w:jc w:val="center"/>
              <w:rPr>
                <w:rFonts w:ascii="宋体"/>
                <w:b/>
                <w:sz w:val="24"/>
              </w:rPr>
            </w:pPr>
          </w:p>
        </w:tc>
        <w:tc>
          <w:tcPr>
            <w:tcW w:w="2933" w:type="dxa"/>
            <w:vAlign w:val="center"/>
          </w:tcPr>
          <w:p w14:paraId="1A29C615">
            <w:pPr>
              <w:spacing w:line="500" w:lineRule="exact"/>
              <w:ind w:left="120" w:hanging="120" w:hangingChars="50"/>
              <w:jc w:val="center"/>
              <w:textAlignment w:val="baseline"/>
              <w:rPr>
                <w:rFonts w:ascii="宋体" w:hAnsi="宋体"/>
                <w:sz w:val="24"/>
              </w:rPr>
            </w:pPr>
            <w:r>
              <w:rPr>
                <w:rFonts w:hint="eastAsia" w:ascii="宋体" w:hAnsi="宋体"/>
                <w:sz w:val="24"/>
              </w:rPr>
              <w:t>报价</w:t>
            </w:r>
          </w:p>
          <w:p w14:paraId="2D2B7494">
            <w:pPr>
              <w:spacing w:line="500" w:lineRule="exact"/>
              <w:ind w:left="120" w:hanging="120" w:hangingChars="50"/>
              <w:jc w:val="center"/>
              <w:textAlignment w:val="baseline"/>
              <w:rPr>
                <w:rFonts w:ascii="宋体" w:hAnsi="宋体"/>
                <w:sz w:val="24"/>
              </w:rPr>
            </w:pPr>
            <w:r>
              <w:rPr>
                <w:rFonts w:hint="eastAsia" w:ascii="宋体" w:hAnsi="宋体"/>
                <w:b/>
                <w:bCs/>
                <w:sz w:val="24"/>
              </w:rPr>
              <w:t>（月租额）</w:t>
            </w:r>
          </w:p>
        </w:tc>
        <w:tc>
          <w:tcPr>
            <w:tcW w:w="5124" w:type="dxa"/>
            <w:vAlign w:val="center"/>
          </w:tcPr>
          <w:p w14:paraId="552A3B38">
            <w:pPr>
              <w:spacing w:line="500" w:lineRule="exact"/>
              <w:jc w:val="left"/>
              <w:rPr>
                <w:rFonts w:hint="default" w:eastAsiaTheme="minorEastAsia"/>
                <w:sz w:val="24"/>
                <w:szCs w:val="24"/>
                <w:u w:val="single"/>
                <w:lang w:val="en-US" w:eastAsia="zh-CN"/>
              </w:rPr>
            </w:pPr>
            <w:r>
              <w:rPr>
                <w:rFonts w:hint="eastAsia"/>
                <w:sz w:val="24"/>
                <w:szCs w:val="24"/>
              </w:rPr>
              <w:t>大写：</w:t>
            </w:r>
            <w:r>
              <w:rPr>
                <w:rFonts w:hint="eastAsia"/>
                <w:sz w:val="24"/>
                <w:szCs w:val="24"/>
                <w:u w:val="single"/>
                <w:lang w:val="en-US" w:eastAsia="zh-CN"/>
              </w:rPr>
              <w:t xml:space="preserve">          </w:t>
            </w:r>
          </w:p>
          <w:p w14:paraId="71EDB576">
            <w:pPr>
              <w:spacing w:line="500" w:lineRule="exact"/>
              <w:jc w:val="left"/>
              <w:rPr>
                <w:u w:val="single"/>
              </w:rPr>
            </w:pPr>
            <w:r>
              <w:rPr>
                <w:rFonts w:hint="eastAsia"/>
                <w:sz w:val="24"/>
                <w:szCs w:val="24"/>
              </w:rPr>
              <w:t>小写：</w:t>
            </w:r>
            <w:r>
              <w:rPr>
                <w:rFonts w:hint="eastAsia"/>
                <w:sz w:val="24"/>
                <w:szCs w:val="24"/>
                <w:u w:val="single"/>
                <w:lang w:val="en-US" w:eastAsia="zh-CN"/>
              </w:rPr>
              <w:t xml:space="preserve">      </w:t>
            </w:r>
            <w:r>
              <w:rPr>
                <w:rFonts w:hint="eastAsia"/>
                <w:sz w:val="24"/>
                <w:szCs w:val="24"/>
              </w:rPr>
              <w:t>万元</w:t>
            </w:r>
          </w:p>
        </w:tc>
      </w:tr>
      <w:tr w14:paraId="4F979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782" w:type="dxa"/>
            <w:vAlign w:val="center"/>
          </w:tcPr>
          <w:p w14:paraId="0FE102D5">
            <w:pPr>
              <w:spacing w:line="500" w:lineRule="exact"/>
              <w:jc w:val="center"/>
              <w:rPr>
                <w:rFonts w:ascii="宋体"/>
                <w:b/>
                <w:sz w:val="24"/>
              </w:rPr>
            </w:pPr>
            <w:r>
              <w:rPr>
                <w:rFonts w:ascii="宋体" w:hAnsi="宋体"/>
                <w:b/>
                <w:sz w:val="24"/>
              </w:rPr>
              <w:t>2</w:t>
            </w:r>
          </w:p>
        </w:tc>
        <w:tc>
          <w:tcPr>
            <w:tcW w:w="2933" w:type="dxa"/>
            <w:vAlign w:val="center"/>
          </w:tcPr>
          <w:p w14:paraId="12FC0F6D">
            <w:pPr>
              <w:spacing w:line="500" w:lineRule="exact"/>
              <w:jc w:val="center"/>
              <w:rPr>
                <w:rFonts w:ascii="宋体"/>
                <w:sz w:val="24"/>
              </w:rPr>
            </w:pPr>
            <w:r>
              <w:rPr>
                <w:rFonts w:hint="eastAsia" w:ascii="宋体" w:hAnsi="宋体"/>
                <w:sz w:val="24"/>
              </w:rPr>
              <w:t>付款方式是否满足</w:t>
            </w:r>
          </w:p>
        </w:tc>
        <w:tc>
          <w:tcPr>
            <w:tcW w:w="5124" w:type="dxa"/>
            <w:vAlign w:val="center"/>
          </w:tcPr>
          <w:p w14:paraId="7374296F">
            <w:pPr>
              <w:spacing w:line="500" w:lineRule="exact"/>
              <w:jc w:val="center"/>
              <w:rPr>
                <w:rFonts w:ascii="宋体"/>
                <w:sz w:val="24"/>
              </w:rPr>
            </w:pPr>
            <w:r>
              <w:rPr>
                <w:rFonts w:ascii="宋体"/>
                <w:sz w:val="24"/>
              </w:rPr>
              <w:sym w:font="Wingdings" w:char="00A8"/>
            </w:r>
            <w:r>
              <w:rPr>
                <w:rFonts w:hint="eastAsia" w:ascii="宋体"/>
                <w:sz w:val="24"/>
              </w:rPr>
              <w:t>是</w:t>
            </w:r>
            <w:r>
              <w:rPr>
                <w:rFonts w:hint="eastAsia" w:ascii="宋体"/>
                <w:sz w:val="24"/>
                <w:lang w:val="en-US" w:eastAsia="zh-CN"/>
              </w:rPr>
              <w:t xml:space="preserve">   </w:t>
            </w:r>
            <w:r>
              <w:rPr>
                <w:rFonts w:hint="eastAsia" w:ascii="宋体"/>
                <w:sz w:val="24"/>
              </w:rPr>
              <w:sym w:font="Wingdings" w:char="00A8"/>
            </w:r>
            <w:r>
              <w:rPr>
                <w:rFonts w:hint="eastAsia" w:ascii="宋体"/>
                <w:sz w:val="24"/>
              </w:rPr>
              <w:t>否</w:t>
            </w:r>
          </w:p>
        </w:tc>
      </w:tr>
      <w:tr w14:paraId="24E2D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782" w:type="dxa"/>
            <w:vAlign w:val="center"/>
          </w:tcPr>
          <w:p w14:paraId="6F4B781E">
            <w:pPr>
              <w:spacing w:line="500" w:lineRule="exact"/>
              <w:jc w:val="center"/>
              <w:rPr>
                <w:rFonts w:ascii="宋体"/>
                <w:b/>
                <w:sz w:val="24"/>
              </w:rPr>
            </w:pPr>
            <w:r>
              <w:rPr>
                <w:rFonts w:hint="eastAsia" w:ascii="宋体"/>
                <w:b/>
                <w:sz w:val="24"/>
              </w:rPr>
              <w:t>3</w:t>
            </w:r>
          </w:p>
        </w:tc>
        <w:tc>
          <w:tcPr>
            <w:tcW w:w="2933" w:type="dxa"/>
            <w:vAlign w:val="center"/>
          </w:tcPr>
          <w:p w14:paraId="062AB3DA">
            <w:pPr>
              <w:pStyle w:val="5"/>
              <w:jc w:val="center"/>
              <w:rPr>
                <w:rFonts w:hint="default"/>
                <w:sz w:val="24"/>
                <w:szCs w:val="24"/>
              </w:rPr>
            </w:pPr>
            <w:r>
              <w:rPr>
                <w:sz w:val="24"/>
                <w:szCs w:val="24"/>
              </w:rPr>
              <w:t>设备到货安装期是否满足</w:t>
            </w:r>
          </w:p>
        </w:tc>
        <w:tc>
          <w:tcPr>
            <w:tcW w:w="5124" w:type="dxa"/>
            <w:vAlign w:val="center"/>
          </w:tcPr>
          <w:p w14:paraId="527D4E7A">
            <w:pPr>
              <w:pStyle w:val="5"/>
              <w:jc w:val="center"/>
              <w:rPr>
                <w:rFonts w:hint="default"/>
                <w:sz w:val="24"/>
                <w:szCs w:val="24"/>
              </w:rPr>
            </w:pPr>
            <w:r>
              <w:rPr>
                <w:sz w:val="24"/>
              </w:rPr>
              <w:sym w:font="Wingdings" w:char="00A8"/>
            </w:r>
            <w:r>
              <w:rPr>
                <w:sz w:val="24"/>
              </w:rPr>
              <w:t>是</w:t>
            </w:r>
            <w:r>
              <w:rPr>
                <w:rFonts w:hint="eastAsia"/>
                <w:sz w:val="24"/>
                <w:lang w:val="en-US" w:eastAsia="zh-CN"/>
              </w:rPr>
              <w:t xml:space="preserve">   </w:t>
            </w:r>
            <w:r>
              <w:rPr>
                <w:sz w:val="24"/>
              </w:rPr>
              <w:sym w:font="Wingdings" w:char="00A8"/>
            </w:r>
            <w:r>
              <w:rPr>
                <w:sz w:val="24"/>
              </w:rPr>
              <w:t>否</w:t>
            </w:r>
            <w:bookmarkStart w:id="0" w:name="_GoBack"/>
            <w:bookmarkEnd w:id="0"/>
          </w:p>
        </w:tc>
      </w:tr>
      <w:tr w14:paraId="2CDF4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782" w:type="dxa"/>
            <w:vAlign w:val="center"/>
          </w:tcPr>
          <w:p w14:paraId="2CC7E0BD">
            <w:pPr>
              <w:spacing w:line="500" w:lineRule="exact"/>
              <w:jc w:val="center"/>
              <w:rPr>
                <w:rFonts w:ascii="宋体"/>
                <w:b/>
                <w:sz w:val="24"/>
              </w:rPr>
            </w:pPr>
            <w:r>
              <w:rPr>
                <w:rFonts w:hint="eastAsia" w:ascii="宋体"/>
                <w:b/>
                <w:sz w:val="24"/>
              </w:rPr>
              <w:t>4</w:t>
            </w:r>
          </w:p>
        </w:tc>
        <w:tc>
          <w:tcPr>
            <w:tcW w:w="2933" w:type="dxa"/>
            <w:vAlign w:val="center"/>
          </w:tcPr>
          <w:p w14:paraId="38E23A70">
            <w:pPr>
              <w:pStyle w:val="5"/>
              <w:jc w:val="center"/>
              <w:rPr>
                <w:rFonts w:hint="default"/>
                <w:sz w:val="24"/>
                <w:szCs w:val="24"/>
              </w:rPr>
            </w:pPr>
            <w:r>
              <w:rPr>
                <w:sz w:val="24"/>
                <w:szCs w:val="24"/>
              </w:rPr>
              <w:t>设备已使用年限</w:t>
            </w:r>
          </w:p>
          <w:p w14:paraId="2491442D">
            <w:pPr>
              <w:pStyle w:val="5"/>
              <w:jc w:val="center"/>
              <w:rPr>
                <w:rFonts w:hint="default"/>
                <w:sz w:val="24"/>
                <w:szCs w:val="24"/>
              </w:rPr>
            </w:pPr>
            <w:r>
              <w:rPr>
                <w:sz w:val="24"/>
                <w:szCs w:val="24"/>
              </w:rPr>
              <w:t>及使用年限</w:t>
            </w:r>
          </w:p>
        </w:tc>
        <w:tc>
          <w:tcPr>
            <w:tcW w:w="5124" w:type="dxa"/>
            <w:vAlign w:val="center"/>
          </w:tcPr>
          <w:p w14:paraId="4F9AD1CD">
            <w:pPr>
              <w:pStyle w:val="5"/>
              <w:jc w:val="left"/>
              <w:rPr>
                <w:rFonts w:hint="default"/>
                <w:sz w:val="24"/>
                <w:szCs w:val="24"/>
              </w:rPr>
            </w:pPr>
          </w:p>
        </w:tc>
      </w:tr>
      <w:tr w14:paraId="6B6D2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782" w:type="dxa"/>
            <w:vAlign w:val="center"/>
          </w:tcPr>
          <w:p w14:paraId="672E0A52">
            <w:pPr>
              <w:spacing w:line="500" w:lineRule="exact"/>
              <w:jc w:val="center"/>
              <w:rPr>
                <w:rFonts w:ascii="宋体"/>
                <w:b/>
                <w:sz w:val="24"/>
              </w:rPr>
            </w:pPr>
            <w:r>
              <w:rPr>
                <w:rFonts w:hint="eastAsia" w:ascii="宋体"/>
                <w:b/>
                <w:sz w:val="24"/>
              </w:rPr>
              <w:t>5</w:t>
            </w:r>
          </w:p>
        </w:tc>
        <w:tc>
          <w:tcPr>
            <w:tcW w:w="2933" w:type="dxa"/>
            <w:vAlign w:val="center"/>
          </w:tcPr>
          <w:p w14:paraId="0CF812AA">
            <w:pPr>
              <w:spacing w:line="500" w:lineRule="exact"/>
              <w:jc w:val="center"/>
              <w:rPr>
                <w:rFonts w:ascii="宋体"/>
                <w:sz w:val="24"/>
              </w:rPr>
            </w:pPr>
            <w:r>
              <w:rPr>
                <w:rFonts w:hint="eastAsia" w:ascii="宋体"/>
                <w:sz w:val="24"/>
              </w:rPr>
              <w:t>其他优惠</w:t>
            </w:r>
          </w:p>
        </w:tc>
        <w:tc>
          <w:tcPr>
            <w:tcW w:w="5124" w:type="dxa"/>
            <w:vAlign w:val="center"/>
          </w:tcPr>
          <w:p w14:paraId="14500EC8">
            <w:pPr>
              <w:spacing w:line="500" w:lineRule="exact"/>
              <w:ind w:firstLine="1200" w:firstLineChars="500"/>
              <w:rPr>
                <w:rFonts w:ascii="宋体"/>
                <w:sz w:val="24"/>
              </w:rPr>
            </w:pPr>
          </w:p>
        </w:tc>
      </w:tr>
      <w:tr w14:paraId="3E1C5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782" w:type="dxa"/>
            <w:vAlign w:val="center"/>
          </w:tcPr>
          <w:p w14:paraId="5FA86420">
            <w:pPr>
              <w:spacing w:line="500" w:lineRule="exact"/>
              <w:jc w:val="center"/>
              <w:rPr>
                <w:rFonts w:ascii="宋体"/>
                <w:b/>
                <w:sz w:val="24"/>
              </w:rPr>
            </w:pPr>
            <w:r>
              <w:rPr>
                <w:rFonts w:hint="eastAsia" w:ascii="宋体"/>
                <w:b/>
                <w:sz w:val="24"/>
              </w:rPr>
              <w:t>6</w:t>
            </w:r>
          </w:p>
        </w:tc>
        <w:tc>
          <w:tcPr>
            <w:tcW w:w="8057" w:type="dxa"/>
            <w:gridSpan w:val="2"/>
            <w:vAlign w:val="center"/>
          </w:tcPr>
          <w:p w14:paraId="7B307C61">
            <w:pPr>
              <w:spacing w:line="500" w:lineRule="exact"/>
              <w:jc w:val="center"/>
              <w:rPr>
                <w:rFonts w:ascii="宋体"/>
                <w:sz w:val="24"/>
              </w:rPr>
            </w:pPr>
            <w:r>
              <w:rPr>
                <w:rFonts w:hint="eastAsia" w:ascii="宋体"/>
                <w:sz w:val="24"/>
              </w:rPr>
              <w:t>附设备配置清单、配套耗材报价表</w:t>
            </w:r>
          </w:p>
        </w:tc>
      </w:tr>
    </w:tbl>
    <w:p w14:paraId="01C86455">
      <w:pPr>
        <w:spacing w:line="480" w:lineRule="auto"/>
        <w:ind w:firstLine="354" w:firstLineChars="147"/>
        <w:rPr>
          <w:rFonts w:ascii="宋体" w:cs="宋体"/>
          <w:b/>
          <w:sz w:val="24"/>
          <w:u w:val="single"/>
        </w:rPr>
      </w:pPr>
      <w:r>
        <w:rPr>
          <w:rFonts w:hint="eastAsia" w:ascii="宋体" w:hAnsi="宋体" w:cs="宋体"/>
          <w:b/>
          <w:sz w:val="24"/>
        </w:rPr>
        <w:t>供应商名称（盖章）：</w:t>
      </w:r>
    </w:p>
    <w:p w14:paraId="2CCECF19">
      <w:pPr>
        <w:spacing w:line="480" w:lineRule="auto"/>
        <w:ind w:firstLine="354" w:firstLineChars="147"/>
        <w:rPr>
          <w:sz w:val="24"/>
        </w:rPr>
      </w:pPr>
      <w:r>
        <w:rPr>
          <w:rFonts w:hint="eastAsia" w:ascii="宋体" w:hAnsi="宋体" w:cs="宋体"/>
          <w:b/>
          <w:sz w:val="24"/>
        </w:rPr>
        <w:t>法定代表人或授权代表签字：</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script"/>
    <w:pitch w:val="default"/>
    <w:sig w:usb0="00000001" w:usb1="080E0000" w:usb2="00000000" w:usb3="00000000" w:csb0="00040000" w:csb1="00000000"/>
  </w:font>
  <w:font w:name="Wingdings">
    <w:panose1 w:val="05000000000000000000"/>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AxNTNjYmQ3M2IxZGYyZmFmOWFjMzgwYWRiMGZlM2UifQ=="/>
  </w:docVars>
  <w:rsids>
    <w:rsidRoot w:val="001E3176"/>
    <w:rsid w:val="001E3176"/>
    <w:rsid w:val="003E7299"/>
    <w:rsid w:val="0050539F"/>
    <w:rsid w:val="009A7CF6"/>
    <w:rsid w:val="02A227A1"/>
    <w:rsid w:val="046D5CD0"/>
    <w:rsid w:val="04BF4C64"/>
    <w:rsid w:val="04FE4B79"/>
    <w:rsid w:val="05D615C1"/>
    <w:rsid w:val="06206E7E"/>
    <w:rsid w:val="072C5EA8"/>
    <w:rsid w:val="092D50C7"/>
    <w:rsid w:val="0A7C50CD"/>
    <w:rsid w:val="0DDC3A38"/>
    <w:rsid w:val="0EDB6D55"/>
    <w:rsid w:val="0F077FA2"/>
    <w:rsid w:val="0F221A78"/>
    <w:rsid w:val="13546543"/>
    <w:rsid w:val="152065D9"/>
    <w:rsid w:val="16F70EB5"/>
    <w:rsid w:val="191A5004"/>
    <w:rsid w:val="1A313A8E"/>
    <w:rsid w:val="1E234E6F"/>
    <w:rsid w:val="1F352F93"/>
    <w:rsid w:val="2041110A"/>
    <w:rsid w:val="21E6036C"/>
    <w:rsid w:val="22517395"/>
    <w:rsid w:val="25DE4B5A"/>
    <w:rsid w:val="28920DC2"/>
    <w:rsid w:val="28E924BD"/>
    <w:rsid w:val="2C8A649C"/>
    <w:rsid w:val="2D6825AD"/>
    <w:rsid w:val="2E4A53FC"/>
    <w:rsid w:val="31481E02"/>
    <w:rsid w:val="32BE6D34"/>
    <w:rsid w:val="332A453A"/>
    <w:rsid w:val="34C719E7"/>
    <w:rsid w:val="374A05A7"/>
    <w:rsid w:val="384D42A5"/>
    <w:rsid w:val="39BC6D57"/>
    <w:rsid w:val="3A451DB4"/>
    <w:rsid w:val="3C0A781C"/>
    <w:rsid w:val="411E653D"/>
    <w:rsid w:val="42E842E2"/>
    <w:rsid w:val="4B5F07FC"/>
    <w:rsid w:val="4B8F05FF"/>
    <w:rsid w:val="4C1C20FA"/>
    <w:rsid w:val="4EAF450E"/>
    <w:rsid w:val="51A234FE"/>
    <w:rsid w:val="52A907F9"/>
    <w:rsid w:val="54901979"/>
    <w:rsid w:val="56E83577"/>
    <w:rsid w:val="574C0F4F"/>
    <w:rsid w:val="59803AD5"/>
    <w:rsid w:val="5CDE7853"/>
    <w:rsid w:val="5D6773B1"/>
    <w:rsid w:val="606856F7"/>
    <w:rsid w:val="641F4E2B"/>
    <w:rsid w:val="64A51E4B"/>
    <w:rsid w:val="66652D12"/>
    <w:rsid w:val="6675282C"/>
    <w:rsid w:val="676B2ACA"/>
    <w:rsid w:val="67FF1FA8"/>
    <w:rsid w:val="68A652DE"/>
    <w:rsid w:val="6ABF2282"/>
    <w:rsid w:val="6C222C55"/>
    <w:rsid w:val="6C6D117C"/>
    <w:rsid w:val="6C7A7016"/>
    <w:rsid w:val="6EDC65DD"/>
    <w:rsid w:val="701C5563"/>
    <w:rsid w:val="7133708A"/>
    <w:rsid w:val="715576D5"/>
    <w:rsid w:val="72A5086F"/>
    <w:rsid w:val="73AE23F9"/>
    <w:rsid w:val="74995C85"/>
    <w:rsid w:val="78C57A52"/>
    <w:rsid w:val="7A2C2C21"/>
    <w:rsid w:val="7B5F033E"/>
    <w:rsid w:val="7C7876CA"/>
    <w:rsid w:val="7D0E78F4"/>
    <w:rsid w:val="7D6363DE"/>
    <w:rsid w:val="7FAF1A0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0"/>
    <w:pPr>
      <w:jc w:val="center"/>
      <w:outlineLvl w:val="0"/>
    </w:pPr>
    <w:rPr>
      <w:rFonts w:ascii="Arial" w:hAnsi="Arial"/>
      <w:b/>
      <w:sz w:val="32"/>
    </w:rPr>
  </w:style>
  <w:style w:type="paragraph" w:styleId="3">
    <w:name w:val="footer"/>
    <w:basedOn w:val="1"/>
    <w:autoRedefine/>
    <w:qFormat/>
    <w:uiPriority w:val="99"/>
    <w:pPr>
      <w:tabs>
        <w:tab w:val="center" w:pos="4153"/>
        <w:tab w:val="right" w:pos="8306"/>
      </w:tabs>
      <w:snapToGrid w:val="0"/>
      <w:jc w:val="left"/>
    </w:pPr>
    <w:rPr>
      <w:sz w:val="18"/>
      <w:szCs w:val="18"/>
    </w:rPr>
  </w:style>
  <w:style w:type="paragraph" w:styleId="4">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5">
    <w:name w:val="toc 1"/>
    <w:basedOn w:val="1"/>
    <w:next w:val="1"/>
    <w:autoRedefine/>
    <w:unhideWhenUsed/>
    <w:qFormat/>
    <w:uiPriority w:val="39"/>
    <w:rPr>
      <w:rFonts w:hint="eastAsia" w:ascii="宋体" w:hAnsi="Times New Roman" w:eastAsia="宋体" w:cs="Times New Roman"/>
      <w:sz w:val="28"/>
      <w:szCs w:val="2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0">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Micorosoft</Company>
  <Pages>3</Pages>
  <Words>1179</Words>
  <Characters>1231</Characters>
  <Lines>9</Lines>
  <Paragraphs>2</Paragraphs>
  <TotalTime>3</TotalTime>
  <ScaleCrop>false</ScaleCrop>
  <LinksUpToDate>false</LinksUpToDate>
  <CharactersWithSpaces>1233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2022-05-16T08:55:00Z</dcterms:created>
  <dc:creator>Administrator.BF-20200609AMBW</dc:creator>
  <cp:lastModifiedBy>-24℃</cp:lastModifiedBy>
  <cp:lastPrinted>2024-05-23T07:39:00Z</cp:lastPrinted>
  <dcterms:modified xsi:type="dcterms:W3CDTF">2025-03-18T00:12:10Z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297FD9190EE940ED805E5EE84FC140E8_13</vt:lpwstr>
  </property>
  <property fmtid="{D5CDD505-2E9C-101B-9397-08002B2CF9AE}" pid="4" name="KSOTemplateDocerSaveRecord">
    <vt:lpwstr>eyJoZGlkIjoiN2U2M2ZhZTEwNDlkYWNkNGI0MTU4NzYyNGM3NGYwZTQiLCJ1c2VySWQiOiIyMTYyMDI2ODgifQ==</vt:lpwstr>
  </property>
</Properties>
</file>