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71B605F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044AD4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货到现场安装调试并验收合格后3个月内付一次性无息付清。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整机质保≥1年，设备</w:t>
      </w:r>
      <w:r>
        <w:rPr>
          <w:rFonts w:hint="eastAsia"/>
          <w:sz w:val="24"/>
          <w:szCs w:val="24"/>
          <w:lang w:val="en-US" w:eastAsia="zh-CN"/>
        </w:rPr>
        <w:t>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  <w:bookmarkStart w:id="0" w:name="_GoBack"/>
      <w:bookmarkEnd w:id="0"/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59D2E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5.1用于为64排CT提供稳定的交流电源，确保其安全、准确、不间断运行，不得影响图像质量。</w:t>
      </w:r>
    </w:p>
    <w:p w14:paraId="0170E9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5.2标称容量≥100kVA</w:t>
      </w:r>
    </w:p>
    <w:p w14:paraId="759378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5.3输入、输出额定电压：380V。</w:t>
      </w:r>
    </w:p>
    <w:p w14:paraId="0ED5F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5.4稳压精度：≤±3%。</w:t>
      </w:r>
    </w:p>
    <w:p w14:paraId="3434B0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5.5具有过压，缺相，相序保护及机械故障保护功能。</w:t>
      </w:r>
    </w:p>
    <w:p w14:paraId="345D54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5.6工作效率：≥95%。</w:t>
      </w:r>
    </w:p>
    <w:p w14:paraId="6633A2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5.7噪声：≤50dB</w:t>
      </w:r>
    </w:p>
    <w:p w14:paraId="5316A0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5.8具备电压等数值显示功能。</w:t>
      </w:r>
    </w:p>
    <w:p w14:paraId="54F1DD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5.9波形失真：无附加波形失真。</w:t>
      </w:r>
    </w:p>
    <w:p w14:paraId="511B84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5.10工作方式：连续工作。</w:t>
      </w:r>
    </w:p>
    <w:p w14:paraId="37BB5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11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设备故障后现场响应时间≤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48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小时。</w:t>
      </w:r>
    </w:p>
    <w:p w14:paraId="2307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val="en-US" w:eastAsia="zh-CN"/>
              </w:rPr>
              <w:t>64排CT稳压电源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附配置清单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43847E8"/>
    <w:rsid w:val="16F70EB5"/>
    <w:rsid w:val="191A5004"/>
    <w:rsid w:val="1A313A8E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C245F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818</Characters>
  <Lines>0</Lines>
  <Paragraphs>0</Paragraphs>
  <TotalTime>4</TotalTime>
  <ScaleCrop>false</ScaleCrop>
  <LinksUpToDate>false</LinksUpToDate>
  <CharactersWithSpaces>878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2026-01-22T00:22:35Z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