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71B605F9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71F7C3B4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default" w:eastAsia="宋体" w:cs="宋体" w:asciiTheme="minorAscii" w:hAnsiTheme="minorAscii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lang w:val="en-US" w:eastAsia="zh-CN"/>
        </w:rPr>
        <w:t>若供应商为制造商，应提供《医疗器械生产许可证》及所投产品对应的《医疗器械注册证》；若供应商为代理商或经销商，应提供《医疗器械经营企业许可证》或《医疗器械的经营备案凭证》及所投产品对应的《医疗器械注册证》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7155745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货到现场安装调试并验收合格后，3个月后付合同总金额的90%，剩余10％一年后一次性无息付清。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整机质保≥2年，设备</w:t>
      </w:r>
      <w:r>
        <w:rPr>
          <w:rFonts w:hint="eastAsia"/>
          <w:sz w:val="24"/>
          <w:szCs w:val="24"/>
          <w:lang w:val="en-US" w:eastAsia="zh-CN"/>
        </w:rPr>
        <w:t>必须为近6个月内生产的全新设备。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5、设备参数及要求</w:t>
      </w:r>
    </w:p>
    <w:p w14:paraId="599FDC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1该设备用于14C尿素呼气试验，对采集的呼气样本进行测量，诊断幽门螺旋杆菌感染。</w:t>
      </w:r>
    </w:p>
    <w:p w14:paraId="13CD7B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2采集数据通道数量≥2，可同时测量至少2个样本。</w:t>
      </w:r>
    </w:p>
    <w:p w14:paraId="24FFC5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3无需淬灭校正。</w:t>
      </w:r>
    </w:p>
    <w:p w14:paraId="2C04C2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4自动给出CPM值和DPM值。</w:t>
      </w:r>
    </w:p>
    <w:p w14:paraId="2E450B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具备自动检测并更新本底、自动扣除本底计数功能。</w:t>
      </w:r>
    </w:p>
    <w:p w14:paraId="2D2C39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6具备液晶触屏。</w:t>
      </w:r>
    </w:p>
    <w:p w14:paraId="6D4BDF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7检测仪检测样本的重复性：≤10%。</w:t>
      </w:r>
    </w:p>
    <w:p w14:paraId="202C53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8检测仪检测样本的准确度：±10%。</w:t>
      </w:r>
    </w:p>
    <w:p w14:paraId="78A110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9可接入医院局域网，连接扫码枪，接入LIS，HIS等系统。支持与其他外部系统对接，比如健康查体系统等。</w:t>
      </w:r>
    </w:p>
    <w:p w14:paraId="655D56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10仪器开放通道，可适用市面上所有插卡式集气卡。</w:t>
      </w:r>
    </w:p>
    <w:p w14:paraId="37BB5C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>11接到报修通知后1小时内响应，48小时内到达现场并排除故障。</w:t>
      </w: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21A849C">
            <w:pPr>
              <w:spacing w:line="50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幽门螺旋杆菌测试仪</w:t>
            </w:r>
          </w:p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（至少两年）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</w:t>
            </w:r>
            <w:bookmarkStart w:id="0" w:name="_GoBack"/>
            <w:bookmarkEnd w:id="0"/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43847E8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5EB532BF"/>
    <w:rsid w:val="606856F7"/>
    <w:rsid w:val="638D3554"/>
    <w:rsid w:val="641F4E2B"/>
    <w:rsid w:val="64A51E4B"/>
    <w:rsid w:val="66652D12"/>
    <w:rsid w:val="6675282C"/>
    <w:rsid w:val="68A652DE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592</Characters>
  <Lines>0</Lines>
  <Paragraphs>0</Paragraphs>
  <TotalTime>1</TotalTime>
  <ScaleCrop>false</ScaleCrop>
  <LinksUpToDate>false</LinksUpToDate>
  <CharactersWithSpaces>651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2026-02-02T09:04:07Z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