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F1BA4"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highlight w:val="none"/>
          <w:lang w:val="en-US" w:eastAsia="zh-CN"/>
        </w:rPr>
        <w:t>附件1</w:t>
      </w:r>
    </w:p>
    <w:p w14:paraId="66A980B0">
      <w:pPr>
        <w:numPr>
          <w:ilvl w:val="0"/>
          <w:numId w:val="0"/>
        </w:numPr>
        <w:jc w:val="center"/>
        <w:rPr>
          <w:rFonts w:hint="eastAsia"/>
          <w:sz w:val="28"/>
          <w:szCs w:val="28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highlight w:val="none"/>
          <w:lang w:val="en-US" w:eastAsia="zh-CN"/>
        </w:rPr>
        <w:t>供应商须知</w:t>
      </w:r>
    </w:p>
    <w:p w14:paraId="1AF43F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一、供应商须提供证明材料</w:t>
      </w:r>
    </w:p>
    <w:p w14:paraId="61A16F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1、营业执照、基本开户证明（复印件加盖公章）；</w:t>
      </w:r>
    </w:p>
    <w:p w14:paraId="1448F4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2、法定代表人授权委托书及授权代表身份证复印件；</w:t>
      </w:r>
    </w:p>
    <w:p w14:paraId="2BC460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/>
          <w:sz w:val="24"/>
          <w:szCs w:val="24"/>
          <w:highlight w:val="none"/>
          <w:vertAlign w:val="baseline"/>
          <w:lang w:val="en-US" w:eastAsia="zh-CN"/>
        </w:rPr>
        <w:t>3、报价表；</w:t>
      </w:r>
    </w:p>
    <w:p w14:paraId="77FDEB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/>
          <w:sz w:val="24"/>
          <w:szCs w:val="24"/>
          <w:highlight w:val="none"/>
          <w:vertAlign w:val="baseline"/>
          <w:lang w:val="en-US" w:eastAsia="zh-CN"/>
        </w:rPr>
        <w:t>4、评分细则中相关资料。</w:t>
      </w:r>
    </w:p>
    <w:p w14:paraId="33F2A7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u w:val="single"/>
          <w:lang w:val="en-US" w:eastAsia="zh-CN"/>
        </w:rPr>
        <w:t>按以上要求提供证相关证件及资料各一份、不可缺项，按顺序装订。</w:t>
      </w:r>
    </w:p>
    <w:p w14:paraId="55F96F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</w:p>
    <w:p w14:paraId="314287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二、供应商须满足以下要求</w:t>
      </w:r>
    </w:p>
    <w:p w14:paraId="2CEF2919">
      <w:pPr>
        <w:keepNext w:val="0"/>
        <w:keepLines w:val="0"/>
        <w:widowControl/>
        <w:suppressLineNumbers w:val="0"/>
        <w:jc w:val="left"/>
        <w:rPr>
          <w:rFonts w:hint="default" w:eastAsia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1、付款方式</w:t>
      </w:r>
      <w:r>
        <w:rPr>
          <w:rFonts w:hint="eastAsia"/>
          <w:sz w:val="24"/>
          <w:szCs w:val="24"/>
          <w:highlight w:val="none"/>
          <w:lang w:val="en-US" w:eastAsia="zh-CN"/>
        </w:rPr>
        <w:t>：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合同签订后支付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50%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，服务期满验收合格后支付剩余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50%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。</w:t>
      </w:r>
    </w:p>
    <w:p w14:paraId="24E7A28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highlight w:val="none"/>
          <w:u w:val="single"/>
          <w:lang w:val="en-US" w:eastAsia="zh-CN"/>
        </w:rPr>
      </w:pPr>
      <w:r>
        <w:rPr>
          <w:rFonts w:hint="eastAsia" w:asciiTheme="minorAscii" w:hAnsiTheme="minorAscii"/>
          <w:b/>
          <w:bCs/>
          <w:sz w:val="24"/>
          <w:szCs w:val="24"/>
          <w:highlight w:val="none"/>
          <w:lang w:val="en-US" w:eastAsia="zh-CN"/>
        </w:rPr>
        <w:t>2</w:t>
      </w:r>
      <w:r>
        <w:rPr>
          <w:rFonts w:hint="default" w:asciiTheme="minorAscii" w:hAnsiTheme="minorAscii"/>
          <w:b/>
          <w:bCs/>
          <w:sz w:val="24"/>
          <w:szCs w:val="24"/>
          <w:highlight w:val="none"/>
          <w:lang w:val="en-US" w:eastAsia="zh-CN"/>
        </w:rPr>
        <w:t>、</w:t>
      </w: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服务期限：</w:t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>1年</w:t>
      </w:r>
    </w:p>
    <w:p w14:paraId="70B882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3、报价：</w:t>
      </w:r>
      <w:r>
        <w:rPr>
          <w:rFonts w:hint="eastAsia" w:ascii="宋体" w:hAnsi="宋体" w:eastAsia="宋体" w:cs="宋体"/>
          <w:sz w:val="24"/>
          <w:highlight w:val="none"/>
        </w:rPr>
        <w:t>所报价格必须包含技术咨询、故障处理和维护、预防性定期维护服务、技术培训、服务质量反馈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、交通</w:t>
      </w:r>
      <w:r>
        <w:rPr>
          <w:rFonts w:hint="eastAsia" w:ascii="宋体" w:hAnsi="宋体" w:eastAsia="宋体" w:cs="宋体"/>
          <w:sz w:val="24"/>
          <w:highlight w:val="none"/>
        </w:rPr>
        <w:t>等服务及产生的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所有</w:t>
      </w:r>
      <w:r>
        <w:rPr>
          <w:rFonts w:hint="eastAsia" w:ascii="宋体" w:hAnsi="宋体" w:eastAsia="宋体" w:cs="宋体"/>
          <w:sz w:val="24"/>
          <w:highlight w:val="none"/>
        </w:rPr>
        <w:t>费用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。</w:t>
      </w:r>
    </w:p>
    <w:p w14:paraId="6C75AD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4、服务内容</w:t>
      </w:r>
    </w:p>
    <w:p w14:paraId="32430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在现有合同服务的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基础上，提供以下维保服务内容：</w:t>
      </w:r>
    </w:p>
    <w:p w14:paraId="22958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1. 系统运行维护服务</w:t>
      </w:r>
    </w:p>
    <w:p w14:paraId="0AFE7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（1）系统日常巡检与监控：每季度对系统进行全面巡检，检查系统运行日志、数据库状态、应用服务运行情况，并向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医院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提供系统运行状况报告。</w:t>
      </w:r>
    </w:p>
    <w:p w14:paraId="77624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（2）故障响应与处理：接到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医院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故障报修后，在30分钟内响应，60分钟内提供远程技术支持，故障严重4小时内到达现场解决问题，12小时内完成故障处理。</w:t>
      </w:r>
    </w:p>
    <w:p w14:paraId="1A316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（3）系统性能优化：定期对系统性能进行测试检查，针对系统运行中的性能瓶颈提供优化方案。</w:t>
      </w:r>
    </w:p>
    <w:p w14:paraId="4E6C6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2. 政策更新与系统适配</w:t>
      </w:r>
    </w:p>
    <w:p w14:paraId="25CF57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（1）及时响应医保政策变动：根据国家及聊城市医保政策的最新要求，及时对系统中的分组规则库、权重配置、分组逻辑等进行更新和调整。</w:t>
      </w:r>
    </w:p>
    <w:p w14:paraId="58720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（2）DRG 3.0版本升级适配：积极跟进国家医保局DRG 3.0版分组方案的发布进程，做好系统升级适配工作，确保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医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院在3.0版本正式执行前完成系统切换准备工作，确保新分组规则在系统内的准确配置和应用。</w:t>
      </w:r>
    </w:p>
    <w:p w14:paraId="155DE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（3）医保结算清单质控规则更新：根据最新政策要求，对病案首页及医保结算清单的质控规则进行动态更新。</w:t>
      </w:r>
    </w:p>
    <w:p w14:paraId="711F9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3. 数据对接与集成</w:t>
      </w:r>
    </w:p>
    <w:p w14:paraId="73E39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因院内信息系统改造、新增信息系统或上级部门政策性变化（如对接政府相关部门业务平台等）涉及本系统的，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公司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积极配合进行系统对接，确保数据互通互联。</w:t>
      </w:r>
    </w:p>
    <w:p w14:paraId="2D453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4. 技术支持与培训</w:t>
      </w:r>
    </w:p>
    <w:p w14:paraId="5695C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（1）提供系统操作技术支持和业务咨询服务，协助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医院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医保办、病案室等部门解决系统使用过程中的各类问题。</w:t>
      </w:r>
    </w:p>
    <w:p w14:paraId="100DF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（2）每年提供不少于两次的系统使用培训或专题分享，涵盖政策解读、系统操作、数据分析等方面。</w:t>
      </w:r>
    </w:p>
    <w:p w14:paraId="0235D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5. 运营管理报告服务</w:t>
      </w:r>
    </w:p>
    <w:p w14:paraId="41E18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每月向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医院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提供《医保DRG运营管理服务报告》，报告内容包括但不限于：</w:t>
      </w:r>
    </w:p>
    <w:p w14:paraId="03F9A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（1）全院整体DRG运营概况：DRG组数、总权重、CMI值等核心指标的趋势分析。</w:t>
      </w:r>
    </w:p>
    <w:p w14:paraId="7934F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（2）科室层面DRG绩效分析：各临床科室的DRG分组结构、费用消耗指数、时间消耗指数分析。</w:t>
      </w:r>
    </w:p>
    <w:p w14:paraId="61A90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（3）病组盈亏情况分析：各主要病组的盈亏分布统计，帮助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医院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识别亏损病组并优化病组结构。</w:t>
      </w:r>
    </w:p>
    <w:p w14:paraId="2864E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（4）与历史数据对比分析及改进建议。</w:t>
      </w:r>
    </w:p>
    <w:p w14:paraId="4DBA2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6. 免费升级服务</w:t>
      </w:r>
    </w:p>
    <w:p w14:paraId="65E6D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免费为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医院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提供本系统的功能更新和产品版本升级服务（包括大版本升级），确保系统功能与行业先进水平同步。</w:t>
      </w:r>
    </w:p>
    <w:p w14:paraId="7C11C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①标注功能：待审核-详情里，标注CC/MCC，例如第2张图标注。</w:t>
      </w:r>
    </w:p>
    <w:p w14:paraId="48F6B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drawing>
          <wp:inline distT="0" distB="0" distL="114300" distR="114300">
            <wp:extent cx="5143500" cy="2823845"/>
            <wp:effectExtent l="0" t="0" r="0" b="14605"/>
            <wp:docPr id="1" name="图片 1" descr="a8ea001c478d84d9b2aff69431ab0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8ea001c478d84d9b2aff69431ab04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82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13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highlight w:val="none"/>
        </w:rPr>
        <w:drawing>
          <wp:inline distT="0" distB="0" distL="114300" distR="114300">
            <wp:extent cx="5222240" cy="3253740"/>
            <wp:effectExtent l="0" t="0" r="16510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2240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6C7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②细化数据分析，</w:t>
      </w:r>
    </w:p>
    <w:p w14:paraId="2C71E4A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960" w:firstLineChars="4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设置管理员账户，设置多个子账户（分发科室），子账户只有查看、导出权限。</w:t>
      </w:r>
    </w:p>
    <w:p w14:paraId="3C42F13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960" w:firstLineChars="4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每月将医保结算数据（真实数据）导入系统，系统展示真实结算的数据，方便各科室查阅。</w:t>
      </w:r>
    </w:p>
    <w:p w14:paraId="2FACF1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③对接his医嘱和电子病历，部署AI自检功能。</w:t>
      </w:r>
    </w:p>
    <w:p w14:paraId="71D86D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drawing>
          <wp:inline distT="0" distB="0" distL="114300" distR="114300">
            <wp:extent cx="5255260" cy="1360805"/>
            <wp:effectExtent l="0" t="0" r="2540" b="10795"/>
            <wp:docPr id="3" name="图片 3" descr="a8ea001c478d84d9b2aff69431ab0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8ea001c478d84d9b2aff69431ab0422"/>
                    <pic:cNvPicPr>
                      <a:picLocks noChangeAspect="1"/>
                    </pic:cNvPicPr>
                  </pic:nvPicPr>
                  <pic:blipFill>
                    <a:blip r:embed="rId4"/>
                    <a:srcRect b="51810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FA0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在详情页里添加医嘱和电子病历展示模块或者链接，能直接查看相应病历的医嘱、电子病历，医嘱展示如his医嘱展示格式，如长嘱、临嘱、西药、中药、检查、检验等，电子病历展示出院记录、入院记录、病程记录、手术记录等。</w:t>
      </w:r>
    </w:p>
    <w:p w14:paraId="2ABB06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④部署AI辅助标识、自审。</w:t>
      </w:r>
    </w:p>
    <w:p w14:paraId="024286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辅助标识：结合③的基础，ai工作流进行分组规范检查，cc、mcc标识并搜索病历医嘱，查找相应药物治疗记录，形成治疗摘要，并在cc.mcc后标识。</w:t>
      </w:r>
    </w:p>
    <w:p w14:paraId="144B16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智能自审：按照标准工作流程进行独立审核、修改并上传。主要针对cc/mcc治疗合规性校验，主要诊断手术校验、编码合规性校验、手术操作与编码校验，自动将所有诊断与操作与病历、医嘱进行校验。对于偏离花费均值、手术记录与手术编码不匹配、主诊断选择错误的重点标识，进行人工复审。</w:t>
      </w:r>
    </w:p>
    <w:p w14:paraId="2977B9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⑤服务不足监测与管理</w:t>
      </w:r>
    </w:p>
    <w:p w14:paraId="17ED0C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监测：感染四项是手术的必要检查项目，增加服务监测模块，对于手术患者，ai去医嘱和病历里找有没有手术前3个月的感染四项结果，将匹配结果列表展示，将没结果的展示出来，有结果没记录的展示出来，没结果有记录的展示出来。</w:t>
      </w:r>
    </w:p>
    <w:p w14:paraId="3A2334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管理：ai智能根据需求批量导出出院记录、感染四项结果（术前3个月）。</w:t>
      </w:r>
    </w:p>
    <w:p w14:paraId="2EC68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7. 数据安全保障</w:t>
      </w:r>
    </w:p>
    <w:p w14:paraId="77711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持续为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医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院提供系统的数据备份与恢复策略保障，确保业务数据的安全性和完整性。每季度定期检查日志，及时发现潜在风险。</w:t>
      </w:r>
    </w:p>
    <w:p w14:paraId="5C660920">
      <w:pP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br w:type="page"/>
      </w:r>
    </w:p>
    <w:p w14:paraId="7C329110">
      <w:pPr>
        <w:rPr>
          <w:rFonts w:hint="eastAsia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评分细则</w:t>
      </w:r>
    </w:p>
    <w:tbl>
      <w:tblPr>
        <w:tblStyle w:val="5"/>
        <w:tblW w:w="840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3146"/>
        <w:gridCol w:w="4740"/>
      </w:tblGrid>
      <w:tr w14:paraId="0459E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D6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96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主要内容及分值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3E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评分方法</w:t>
            </w:r>
          </w:p>
        </w:tc>
      </w:tr>
      <w:tr w14:paraId="38D31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atLeast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F4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07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报价  3分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8F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报价最低的供应商的价格为基准价，其价格分为满分。其他供应商的价格分统一按照下列公式计算: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报价得分=(基准价/最后报价)*30%*10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注:小数点后保留2位有效数字</w:t>
            </w:r>
          </w:p>
        </w:tc>
      </w:tr>
      <w:tr w14:paraId="24E9B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1" w:hRule="atLeast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61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4A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维保服务方案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0-5分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AE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按照本项目“服务内容”提供维保服务方案（包括应急响应），根据服务方案的完整性、可行性，以及运维方案的规范性、技术支持程度等进行综合评分</w:t>
            </w:r>
          </w:p>
        </w:tc>
      </w:tr>
      <w:tr w14:paraId="2D339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6" w:hRule="atLeast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11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三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32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业绩  0-2分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E3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根据供应商提供的2025年以来同类项目业绩进行评分，每提供一项业绩得1分，满分2分。（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需提供合同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或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中标通知书等有效佐证材料，材料不全或不符不得分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</w:tr>
    </w:tbl>
    <w:p w14:paraId="1AA4D915">
      <w:pPr>
        <w:pStyle w:val="4"/>
        <w:rPr>
          <w:rFonts w:hint="eastAsia"/>
          <w:b/>
          <w:bCs/>
          <w:sz w:val="24"/>
          <w:szCs w:val="24"/>
          <w:highlight w:val="none"/>
          <w:lang w:eastAsia="zh-CN"/>
        </w:rPr>
      </w:pPr>
      <w:r>
        <w:rPr>
          <w:rFonts w:hint="eastAsia"/>
          <w:b/>
          <w:bCs/>
          <w:sz w:val="24"/>
          <w:szCs w:val="24"/>
          <w:highlight w:val="none"/>
          <w:lang w:eastAsia="zh-CN"/>
        </w:rPr>
        <w:t>备注：请按照评分细则相关要求提供资料。</w:t>
      </w:r>
    </w:p>
    <w:p w14:paraId="680FFC1E">
      <w:pPr>
        <w:rPr>
          <w:rFonts w:hint="eastAsia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br w:type="page"/>
      </w:r>
    </w:p>
    <w:p w14:paraId="32E5C98E">
      <w:pPr>
        <w:pStyle w:val="4"/>
        <w:jc w:val="center"/>
        <w:rPr>
          <w:rFonts w:hint="eastAsia" w:eastAsia="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报价表</w:t>
      </w:r>
    </w:p>
    <w:tbl>
      <w:tblPr>
        <w:tblStyle w:val="5"/>
        <w:tblW w:w="8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3216"/>
        <w:gridCol w:w="4841"/>
      </w:tblGrid>
      <w:tr w14:paraId="68627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6" w:hRule="atLeast"/>
          <w:jc w:val="center"/>
        </w:trPr>
        <w:tc>
          <w:tcPr>
            <w:tcW w:w="782" w:type="dxa"/>
            <w:vAlign w:val="center"/>
          </w:tcPr>
          <w:p w14:paraId="38FA2E14">
            <w:pPr>
              <w:spacing w:line="500" w:lineRule="exact"/>
              <w:jc w:val="center"/>
              <w:rPr>
                <w:rFonts w:asci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序号</w:t>
            </w:r>
          </w:p>
        </w:tc>
        <w:tc>
          <w:tcPr>
            <w:tcW w:w="8057" w:type="dxa"/>
            <w:gridSpan w:val="2"/>
            <w:vAlign w:val="center"/>
          </w:tcPr>
          <w:p w14:paraId="5C42A406">
            <w:pPr>
              <w:spacing w:line="500" w:lineRule="exact"/>
              <w:jc w:val="center"/>
              <w:rPr>
                <w:rFonts w:asci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报</w:t>
            </w:r>
            <w:r>
              <w:rPr>
                <w:rFonts w:ascii="宋体" w:hAnsi="宋体"/>
                <w:b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highlight w:val="none"/>
              </w:rPr>
              <w:t>价</w:t>
            </w:r>
            <w:r>
              <w:rPr>
                <w:rFonts w:ascii="宋体" w:hAnsi="宋体"/>
                <w:b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highlight w:val="none"/>
              </w:rPr>
              <w:t>项</w:t>
            </w:r>
            <w:r>
              <w:rPr>
                <w:rFonts w:ascii="宋体" w:hAnsi="宋体"/>
                <w:b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highlight w:val="none"/>
              </w:rPr>
              <w:t>目</w:t>
            </w:r>
            <w:r>
              <w:rPr>
                <w:rFonts w:ascii="宋体" w:hAnsi="宋体"/>
                <w:b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highlight w:val="none"/>
              </w:rPr>
              <w:t>明</w:t>
            </w:r>
            <w:r>
              <w:rPr>
                <w:rFonts w:ascii="宋体" w:hAnsi="宋体"/>
                <w:b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highlight w:val="none"/>
              </w:rPr>
              <w:t>细</w:t>
            </w:r>
          </w:p>
        </w:tc>
      </w:tr>
      <w:tr w14:paraId="6E78C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  <w:jc w:val="center"/>
        </w:trPr>
        <w:tc>
          <w:tcPr>
            <w:tcW w:w="782" w:type="dxa"/>
            <w:vMerge w:val="restart"/>
            <w:vAlign w:val="center"/>
          </w:tcPr>
          <w:p w14:paraId="4A088DD1">
            <w:pPr>
              <w:spacing w:line="500" w:lineRule="exact"/>
              <w:jc w:val="center"/>
              <w:rPr>
                <w:rFonts w:ascii="宋体"/>
                <w:b/>
                <w:sz w:val="24"/>
                <w:highlight w:val="none"/>
              </w:rPr>
            </w:pPr>
            <w:r>
              <w:rPr>
                <w:rFonts w:hint="eastAsia" w:ascii="宋体"/>
                <w:b/>
                <w:sz w:val="24"/>
                <w:highlight w:val="none"/>
              </w:rPr>
              <w:t>1</w:t>
            </w:r>
          </w:p>
        </w:tc>
        <w:tc>
          <w:tcPr>
            <w:tcW w:w="3216" w:type="dxa"/>
            <w:vAlign w:val="center"/>
          </w:tcPr>
          <w:p w14:paraId="3180ACEB">
            <w:pPr>
              <w:spacing w:line="500" w:lineRule="exact"/>
              <w:ind w:left="120" w:hanging="120" w:hangingChars="50"/>
              <w:jc w:val="center"/>
              <w:textAlignment w:val="baseline"/>
              <w:rPr>
                <w:rFonts w:ascii="宋体"/>
                <w:sz w:val="24"/>
                <w:highlight w:val="none"/>
              </w:rPr>
            </w:pPr>
            <w:r>
              <w:rPr>
                <w:rFonts w:hint="eastAsia" w:ascii="宋体"/>
                <w:sz w:val="24"/>
                <w:highlight w:val="none"/>
              </w:rPr>
              <w:t>内容</w:t>
            </w:r>
          </w:p>
        </w:tc>
        <w:tc>
          <w:tcPr>
            <w:tcW w:w="4841" w:type="dxa"/>
            <w:vAlign w:val="center"/>
          </w:tcPr>
          <w:p w14:paraId="71987D06">
            <w:pPr>
              <w:spacing w:line="500" w:lineRule="exact"/>
              <w:jc w:val="center"/>
              <w:rPr>
                <w:rFonts w:hint="eastAsia" w:ascii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sz w:val="24"/>
                <w:highlight w:val="none"/>
                <w:lang w:eastAsia="zh-CN"/>
              </w:rPr>
              <w:t>聊城市眼科医院</w:t>
            </w:r>
            <w:r>
              <w:rPr>
                <w:rFonts w:hint="eastAsia" w:ascii="宋体"/>
                <w:sz w:val="24"/>
                <w:highlight w:val="none"/>
                <w:lang w:val="en-US" w:eastAsia="zh-CN"/>
              </w:rPr>
              <w:t>DRG全流程运营管理</w:t>
            </w:r>
          </w:p>
          <w:p w14:paraId="353DEE7C">
            <w:pPr>
              <w:spacing w:line="500" w:lineRule="exact"/>
              <w:jc w:val="center"/>
              <w:rPr>
                <w:rFonts w:hint="eastAsia" w:ascii="宋体" w:eastAsiaTheme="minorEastAsia"/>
                <w:sz w:val="24"/>
                <w:highlight w:val="none"/>
                <w:lang w:eastAsia="zh-CN"/>
              </w:rPr>
            </w:pPr>
            <w:r>
              <w:rPr>
                <w:rFonts w:hint="eastAsia" w:ascii="宋体"/>
                <w:sz w:val="24"/>
                <w:highlight w:val="none"/>
                <w:lang w:val="en-US" w:eastAsia="zh-CN"/>
              </w:rPr>
              <w:t>系统维保服务项目</w:t>
            </w:r>
          </w:p>
        </w:tc>
      </w:tr>
      <w:tr w14:paraId="4C28B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782" w:type="dxa"/>
            <w:vMerge w:val="continue"/>
            <w:vAlign w:val="center"/>
          </w:tcPr>
          <w:p w14:paraId="22A9217E">
            <w:pPr>
              <w:spacing w:line="500" w:lineRule="exact"/>
              <w:jc w:val="center"/>
              <w:rPr>
                <w:rFonts w:ascii="宋体"/>
                <w:b/>
                <w:sz w:val="24"/>
                <w:highlight w:val="none"/>
              </w:rPr>
            </w:pPr>
          </w:p>
        </w:tc>
        <w:tc>
          <w:tcPr>
            <w:tcW w:w="3216" w:type="dxa"/>
            <w:vAlign w:val="center"/>
          </w:tcPr>
          <w:p w14:paraId="1F076ADB">
            <w:pPr>
              <w:spacing w:line="500" w:lineRule="exact"/>
              <w:ind w:left="120" w:hanging="120" w:hangingChars="50"/>
              <w:jc w:val="center"/>
              <w:textAlignment w:val="baseline"/>
              <w:rPr>
                <w:rFonts w:asci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项目总报价</w:t>
            </w:r>
          </w:p>
        </w:tc>
        <w:tc>
          <w:tcPr>
            <w:tcW w:w="4841" w:type="dxa"/>
            <w:vAlign w:val="center"/>
          </w:tcPr>
          <w:p w14:paraId="46A97762">
            <w:pPr>
              <w:spacing w:line="500" w:lineRule="exact"/>
              <w:rPr>
                <w:rFonts w:hint="default" w:ascii="宋体" w:eastAsiaTheme="minorEastAsia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大写：</w:t>
            </w:r>
            <w:r>
              <w:rPr>
                <w:rFonts w:hint="eastAsia" w:ascii="宋体" w:hAnsi="宋体"/>
                <w:sz w:val="24"/>
                <w:highlight w:val="none"/>
                <w:u w:val="single"/>
                <w:lang w:val="en-US" w:eastAsia="zh-CN"/>
              </w:rPr>
              <w:t xml:space="preserve">              </w:t>
            </w:r>
          </w:p>
          <w:p w14:paraId="3ABF2B49">
            <w:pPr>
              <w:spacing w:line="500" w:lineRule="exact"/>
              <w:rPr>
                <w:rFonts w:asci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小写：</w:t>
            </w:r>
            <w:r>
              <w:rPr>
                <w:rFonts w:hint="eastAsia" w:ascii="宋体" w:hAnsi="宋体"/>
                <w:sz w:val="24"/>
                <w:highlight w:val="none"/>
                <w:u w:val="single"/>
              </w:rPr>
              <w:t xml:space="preserve">          </w:t>
            </w:r>
            <w:r>
              <w:rPr>
                <w:rFonts w:ascii="宋体" w:hAnsi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highlight w:val="none"/>
              </w:rPr>
              <w:t>万元</w:t>
            </w:r>
          </w:p>
        </w:tc>
      </w:tr>
      <w:tr w14:paraId="55431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64109957">
            <w:pPr>
              <w:spacing w:line="500" w:lineRule="exact"/>
              <w:jc w:val="center"/>
              <w:rPr>
                <w:rFonts w:ascii="宋体"/>
                <w:b/>
                <w:sz w:val="24"/>
                <w:highlight w:val="none"/>
              </w:rPr>
            </w:pPr>
            <w:r>
              <w:rPr>
                <w:rFonts w:ascii="宋体" w:hAnsi="宋体"/>
                <w:b/>
                <w:sz w:val="24"/>
                <w:highlight w:val="none"/>
              </w:rPr>
              <w:t>2</w:t>
            </w:r>
          </w:p>
        </w:tc>
        <w:tc>
          <w:tcPr>
            <w:tcW w:w="3216" w:type="dxa"/>
            <w:vAlign w:val="center"/>
          </w:tcPr>
          <w:p w14:paraId="0F902122">
            <w:pPr>
              <w:spacing w:line="500" w:lineRule="exact"/>
              <w:jc w:val="center"/>
              <w:rPr>
                <w:rFonts w:hint="eastAsia" w:ascii="宋体" w:eastAsiaTheme="minorEastAsia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付款方式是否满足</w:t>
            </w:r>
          </w:p>
        </w:tc>
        <w:tc>
          <w:tcPr>
            <w:tcW w:w="4841" w:type="dxa"/>
            <w:vAlign w:val="center"/>
          </w:tcPr>
          <w:p w14:paraId="2D10E94A">
            <w:pPr>
              <w:spacing w:line="500" w:lineRule="exact"/>
              <w:ind w:firstLine="1200" w:firstLineChars="500"/>
              <w:rPr>
                <w:rFonts w:hint="eastAsia" w:ascii="宋体" w:eastAsiaTheme="minorEastAsia"/>
                <w:sz w:val="24"/>
                <w:highlight w:val="none"/>
                <w:lang w:eastAsia="zh-CN"/>
              </w:rPr>
            </w:pPr>
            <w:r>
              <w:rPr>
                <w:rFonts w:ascii="宋体"/>
                <w:sz w:val="24"/>
                <w:highlight w:val="none"/>
              </w:rPr>
              <w:sym w:font="Wingdings" w:char="00A8"/>
            </w:r>
            <w:r>
              <w:rPr>
                <w:rFonts w:hint="eastAsia" w:ascii="宋体"/>
                <w:sz w:val="24"/>
                <w:highlight w:val="none"/>
                <w:lang w:eastAsia="zh-CN"/>
              </w:rPr>
              <w:t>是</w:t>
            </w:r>
            <w:r>
              <w:rPr>
                <w:rFonts w:hint="eastAsia" w:ascii="宋体"/>
                <w:sz w:val="24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宋体"/>
                <w:sz w:val="24"/>
                <w:highlight w:val="none"/>
                <w:lang w:eastAsia="zh-CN"/>
              </w:rPr>
              <w:sym w:font="Wingdings" w:char="00A8"/>
            </w:r>
            <w:r>
              <w:rPr>
                <w:rFonts w:hint="eastAsia" w:ascii="宋体"/>
                <w:sz w:val="24"/>
                <w:highlight w:val="none"/>
                <w:lang w:eastAsia="zh-CN"/>
              </w:rPr>
              <w:t>否</w:t>
            </w:r>
          </w:p>
        </w:tc>
      </w:tr>
      <w:tr w14:paraId="2D76D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09D631EC">
            <w:pPr>
              <w:spacing w:line="500" w:lineRule="exact"/>
              <w:jc w:val="center"/>
              <w:rPr>
                <w:rFonts w:hint="default" w:ascii="宋体" w:hAnsi="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3216" w:type="dxa"/>
            <w:vAlign w:val="center"/>
          </w:tcPr>
          <w:p w14:paraId="6FBCAE78">
            <w:pPr>
              <w:pStyle w:val="4"/>
              <w:jc w:val="center"/>
              <w:rPr>
                <w:rFonts w:hint="eastAsia" w:hAnsi="宋体" w:cs="宋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hAnsi="宋体" w:cs="宋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项目“服务内容”是否满足</w:t>
            </w:r>
          </w:p>
          <w:p w14:paraId="00B0F93B">
            <w:pPr>
              <w:pStyle w:val="4"/>
              <w:jc w:val="center"/>
              <w:rPr>
                <w:rFonts w:hint="eastAsia" w:hAnsi="宋体" w:cs="宋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hAnsi="宋体" w:cs="宋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需求</w:t>
            </w:r>
          </w:p>
          <w:p w14:paraId="698FF139">
            <w:pPr>
              <w:rPr>
                <w:rFonts w:hint="eastAsia"/>
                <w:lang w:eastAsia="zh-CN"/>
              </w:rPr>
            </w:pPr>
            <w:r>
              <w:rPr>
                <w:rFonts w:hint="eastAsia" w:hAnsi="宋体" w:cs="宋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（如有不满足项，请自行另附说明）</w:t>
            </w:r>
          </w:p>
        </w:tc>
        <w:tc>
          <w:tcPr>
            <w:tcW w:w="4841" w:type="dxa"/>
            <w:vAlign w:val="center"/>
          </w:tcPr>
          <w:p w14:paraId="185CDCC4">
            <w:pPr>
              <w:spacing w:line="500" w:lineRule="exact"/>
              <w:ind w:firstLine="1200" w:firstLineChars="500"/>
              <w:rPr>
                <w:rFonts w:ascii="宋体"/>
                <w:sz w:val="24"/>
                <w:highlight w:val="none"/>
              </w:rPr>
            </w:pPr>
            <w:r>
              <w:rPr>
                <w:rFonts w:ascii="宋体"/>
                <w:sz w:val="24"/>
                <w:highlight w:val="none"/>
              </w:rPr>
              <w:sym w:font="Wingdings" w:char="00A8"/>
            </w:r>
            <w:r>
              <w:rPr>
                <w:rFonts w:hint="eastAsia" w:ascii="宋体"/>
                <w:sz w:val="24"/>
                <w:highlight w:val="none"/>
                <w:lang w:eastAsia="zh-CN"/>
              </w:rPr>
              <w:t>是</w:t>
            </w:r>
            <w:r>
              <w:rPr>
                <w:rFonts w:hint="eastAsia" w:ascii="宋体"/>
                <w:sz w:val="24"/>
                <w:highlight w:val="none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宋体"/>
                <w:sz w:val="24"/>
                <w:highlight w:val="none"/>
                <w:lang w:eastAsia="zh-CN"/>
              </w:rPr>
              <w:sym w:font="Wingdings" w:char="00A8"/>
            </w:r>
            <w:r>
              <w:rPr>
                <w:rFonts w:hint="eastAsia" w:ascii="宋体"/>
                <w:sz w:val="24"/>
                <w:highlight w:val="none"/>
                <w:lang w:eastAsia="zh-CN"/>
              </w:rPr>
              <w:t>否</w:t>
            </w:r>
          </w:p>
        </w:tc>
      </w:tr>
    </w:tbl>
    <w:p w14:paraId="50A67037">
      <w:pPr>
        <w:spacing w:line="480" w:lineRule="auto"/>
        <w:ind w:firstLine="354" w:firstLineChars="147"/>
        <w:rPr>
          <w:rFonts w:ascii="宋体" w:cs="宋体"/>
          <w:b/>
          <w:sz w:val="24"/>
          <w:highlight w:val="none"/>
          <w:u w:val="single"/>
        </w:rPr>
      </w:pPr>
      <w:r>
        <w:rPr>
          <w:rFonts w:hint="eastAsia" w:ascii="宋体" w:hAnsi="宋体" w:cs="宋体"/>
          <w:b/>
          <w:sz w:val="24"/>
          <w:highlight w:val="none"/>
        </w:rPr>
        <w:t>供应商名称（盖章）</w:t>
      </w:r>
      <w:r>
        <w:rPr>
          <w:rFonts w:ascii="宋体" w:hAnsi="宋体" w:cs="宋体"/>
          <w:b/>
          <w:sz w:val="24"/>
          <w:highlight w:val="none"/>
        </w:rPr>
        <w:t xml:space="preserve"> </w:t>
      </w:r>
      <w:r>
        <w:rPr>
          <w:rFonts w:hint="eastAsia" w:ascii="宋体" w:hAnsi="宋体" w:cs="宋体"/>
          <w:b/>
          <w:sz w:val="24"/>
          <w:highlight w:val="none"/>
        </w:rPr>
        <w:t>：</w:t>
      </w:r>
    </w:p>
    <w:p w14:paraId="5C7B33D6">
      <w:pPr>
        <w:spacing w:line="480" w:lineRule="auto"/>
        <w:ind w:firstLine="354" w:firstLineChars="147"/>
        <w:rPr>
          <w:rFonts w:hAnsi="宋体" w:cs="宋体"/>
          <w:b/>
          <w:sz w:val="24"/>
          <w:highlight w:val="none"/>
        </w:rPr>
      </w:pPr>
      <w:r>
        <w:rPr>
          <w:rFonts w:hint="eastAsia" w:ascii="宋体" w:hAnsi="宋体" w:cs="宋体"/>
          <w:b/>
          <w:sz w:val="24"/>
          <w:highlight w:val="none"/>
        </w:rPr>
        <w:t>法定代表人或授权代表签字：</w:t>
      </w:r>
    </w:p>
    <w:p w14:paraId="4B399B18">
      <w:pPr>
        <w:rPr>
          <w:rFonts w:hint="default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AB7E96"/>
    <w:multiLevelType w:val="singleLevel"/>
    <w:tmpl w:val="E7AB7E96"/>
    <w:lvl w:ilvl="0" w:tentative="0">
      <w:start w:val="1"/>
      <w:numFmt w:val="lowerLetter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M2ZhZTEwNDlkYWNkNGI0MTU4NzYyNGM3NGYwZTQifQ=="/>
  </w:docVars>
  <w:rsids>
    <w:rsidRoot w:val="00000000"/>
    <w:rsid w:val="02A227A1"/>
    <w:rsid w:val="04BF4C64"/>
    <w:rsid w:val="05D615C1"/>
    <w:rsid w:val="07605EE9"/>
    <w:rsid w:val="098B1995"/>
    <w:rsid w:val="0A7C50CD"/>
    <w:rsid w:val="0AA908BB"/>
    <w:rsid w:val="0BBA1D5C"/>
    <w:rsid w:val="0DDC3A38"/>
    <w:rsid w:val="0EDB6D55"/>
    <w:rsid w:val="0F221A78"/>
    <w:rsid w:val="11712FB9"/>
    <w:rsid w:val="13546543"/>
    <w:rsid w:val="14DA5C6D"/>
    <w:rsid w:val="16076F46"/>
    <w:rsid w:val="16F70EB5"/>
    <w:rsid w:val="1F352F93"/>
    <w:rsid w:val="20A84538"/>
    <w:rsid w:val="28920DC2"/>
    <w:rsid w:val="28E924BD"/>
    <w:rsid w:val="2B9531AA"/>
    <w:rsid w:val="2C8A649C"/>
    <w:rsid w:val="2D6825AD"/>
    <w:rsid w:val="300774C8"/>
    <w:rsid w:val="31481E02"/>
    <w:rsid w:val="332A453A"/>
    <w:rsid w:val="34C719E7"/>
    <w:rsid w:val="35D67C36"/>
    <w:rsid w:val="36411ED6"/>
    <w:rsid w:val="37285D90"/>
    <w:rsid w:val="374A05A7"/>
    <w:rsid w:val="38324525"/>
    <w:rsid w:val="384D42A5"/>
    <w:rsid w:val="385A7452"/>
    <w:rsid w:val="3A451DB4"/>
    <w:rsid w:val="411E653D"/>
    <w:rsid w:val="42E842E2"/>
    <w:rsid w:val="49283796"/>
    <w:rsid w:val="4B5F07FC"/>
    <w:rsid w:val="4C1C20FA"/>
    <w:rsid w:val="4DE96798"/>
    <w:rsid w:val="504A482B"/>
    <w:rsid w:val="504E3E24"/>
    <w:rsid w:val="52A907F9"/>
    <w:rsid w:val="52C353C0"/>
    <w:rsid w:val="542B0EDE"/>
    <w:rsid w:val="54901979"/>
    <w:rsid w:val="54D7436D"/>
    <w:rsid w:val="55EA79E3"/>
    <w:rsid w:val="5D6773B1"/>
    <w:rsid w:val="606856F7"/>
    <w:rsid w:val="641F4E2B"/>
    <w:rsid w:val="659D6464"/>
    <w:rsid w:val="66652D12"/>
    <w:rsid w:val="6675282C"/>
    <w:rsid w:val="68A652DE"/>
    <w:rsid w:val="69D411D1"/>
    <w:rsid w:val="6C7A7016"/>
    <w:rsid w:val="6F645D48"/>
    <w:rsid w:val="7133708A"/>
    <w:rsid w:val="715576D5"/>
    <w:rsid w:val="73AE23F9"/>
    <w:rsid w:val="74995C85"/>
    <w:rsid w:val="78C57A52"/>
    <w:rsid w:val="7B5F033E"/>
    <w:rsid w:val="7CCA79FC"/>
    <w:rsid w:val="7D0542F3"/>
    <w:rsid w:val="7D6363DE"/>
    <w:rsid w:val="7DA12E2C"/>
    <w:rsid w:val="7FAF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unhideWhenUsed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2"/>
      <w:sz w:val="28"/>
      <w:szCs w:val="28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2087</Words>
  <Characters>2167</Characters>
  <Lines>0</Lines>
  <Paragraphs>0</Paragraphs>
  <TotalTime>14</TotalTime>
  <ScaleCrop>false</ScaleCrop>
  <LinksUpToDate>false</LinksUpToDate>
  <CharactersWithSpaces>2231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2022-05-16T08:55:00Z</dcterms:created>
  <dc:creator>Administrator.BF-20200609AMBW</dc:creator>
  <cp:lastModifiedBy>张朋</cp:lastModifiedBy>
  <cp:lastPrinted>2022-08-13T01:04:00Z</cp:lastPrinted>
  <dcterms:modified xsi:type="dcterms:W3CDTF">2026-08-03T00:34:51Z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30574C2054504F9F9468243347084498_13</vt:lpwstr>
  </property>
  <property fmtid="{D5CDD505-2E9C-101B-9397-08002B2CF9AE}" pid="4" name="KSOTemplateDocerSaveRecord">
    <vt:lpwstr>eyJoZGlkIjoiYjAxNTNjYmQ3M2IxZGYyZmFmOWFjMzgwYWRiMGZlM2UiLCJ1c2VySWQiOiIxNzU4Njk3MjI1In0=</vt:lpwstr>
  </property>
</Properties>
</file>